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9B98A" w14:textId="158BEA0B" w:rsidR="00A76D8D" w:rsidRPr="00A76D8D" w:rsidRDefault="00EF6C88" w:rsidP="00A76D8D">
      <w:pPr>
        <w:jc w:val="center"/>
        <w:rPr>
          <w:b/>
        </w:rPr>
      </w:pPr>
      <w:r>
        <w:rPr>
          <w:b/>
        </w:rPr>
        <w:t>Avons-nous une université</w:t>
      </w:r>
      <w:r w:rsidR="00A76D8D" w:rsidRPr="00A76D8D">
        <w:rPr>
          <w:b/>
        </w:rPr>
        <w:t xml:space="preserve"> à la hauteur du problème ?</w:t>
      </w:r>
      <w:r w:rsidR="00A76D8D" w:rsidRPr="00A76D8D">
        <w:rPr>
          <w:b/>
        </w:rPr>
        <w:br/>
        <w:t xml:space="preserve">Question </w:t>
      </w:r>
      <w:r w:rsidR="00BB1734">
        <w:rPr>
          <w:b/>
        </w:rPr>
        <w:t xml:space="preserve">pour </w:t>
      </w:r>
      <w:r w:rsidR="004A6774">
        <w:rPr>
          <w:b/>
        </w:rPr>
        <w:t xml:space="preserve">une </w:t>
      </w:r>
      <w:r w:rsidR="00BB1734">
        <w:rPr>
          <w:b/>
        </w:rPr>
        <w:t xml:space="preserve">période </w:t>
      </w:r>
      <w:r w:rsidR="00A76D8D" w:rsidRPr="00A76D8D">
        <w:rPr>
          <w:b/>
        </w:rPr>
        <w:t>électorale</w:t>
      </w:r>
    </w:p>
    <w:p w14:paraId="4B3FA884" w14:textId="77777777" w:rsidR="00A76D8D" w:rsidRDefault="00A76D8D"/>
    <w:p w14:paraId="3491F2F9" w14:textId="73F59555" w:rsidR="00B31BAA" w:rsidRDefault="00CD7359" w:rsidP="005F31EF">
      <w:pPr>
        <w:ind w:firstLine="284"/>
      </w:pPr>
      <w:r>
        <w:t>Des adolescent</w:t>
      </w:r>
      <w:r w:rsidR="00CC3CD9">
        <w:t>.e.</w:t>
      </w:r>
      <w:r>
        <w:t>s qui manifestent et nous interpellent : « Vous mourrez de vieillesse, nous n’aurons pas cette chance ! »</w:t>
      </w:r>
      <w:r w:rsidR="00C22A62">
        <w:rPr>
          <w:rStyle w:val="Marquenotebasdepage"/>
        </w:rPr>
        <w:footnoteReference w:id="1"/>
      </w:r>
      <w:r w:rsidR="00626F28" w:rsidRPr="00626F28">
        <w:t xml:space="preserve"> </w:t>
      </w:r>
      <w:r w:rsidR="00626F28">
        <w:t>; des femmes et des hommes qui décident de ne pas avoir d’enfant et se font stériliser pour ne pas ajouter à la surpopulation et à la surconsommation, par sens aigu de l’écologie, pour sauver la planète, pour ne pas laisser et donner à voir un monde en ruine</w:t>
      </w:r>
      <w:r w:rsidR="00C22A62">
        <w:rPr>
          <w:rStyle w:val="Marquenotebasdepage"/>
        </w:rPr>
        <w:footnoteReference w:id="2"/>
      </w:r>
      <w:r>
        <w:t xml:space="preserve"> ; </w:t>
      </w:r>
      <w:r w:rsidR="00F62404">
        <w:t xml:space="preserve">d’autres, comme en Suède, </w:t>
      </w:r>
      <w:r w:rsidR="00B31BAA">
        <w:t xml:space="preserve">qui </w:t>
      </w:r>
      <w:r w:rsidR="00F62404">
        <w:t xml:space="preserve">veulent susciter le </w:t>
      </w:r>
      <w:r w:rsidR="00F62404" w:rsidRPr="00F62404">
        <w:rPr>
          <w:rFonts w:eastAsia="Times New Roman"/>
          <w:szCs w:val="22"/>
          <w:lang w:eastAsia="fr-FR"/>
        </w:rPr>
        <w:t>« flygskam »</w:t>
      </w:r>
      <w:r w:rsidR="00F62404">
        <w:rPr>
          <w:rFonts w:eastAsia="Times New Roman"/>
          <w:szCs w:val="22"/>
          <w:lang w:eastAsia="fr-FR"/>
        </w:rPr>
        <w:t>,</w:t>
      </w:r>
      <w:r w:rsidR="00F62404">
        <w:rPr>
          <w:rFonts w:eastAsia="Times New Roman"/>
          <w:i/>
          <w:szCs w:val="22"/>
          <w:lang w:eastAsia="fr-FR"/>
        </w:rPr>
        <w:t xml:space="preserve"> </w:t>
      </w:r>
      <w:r w:rsidR="00F62404" w:rsidRPr="00F62404">
        <w:rPr>
          <w:rFonts w:eastAsia="Times New Roman"/>
          <w:szCs w:val="22"/>
          <w:lang w:eastAsia="fr-FR"/>
        </w:rPr>
        <w:t xml:space="preserve">c'est-à-dire </w:t>
      </w:r>
      <w:r w:rsidR="00B31BAA">
        <w:rPr>
          <w:rFonts w:eastAsia="Times New Roman"/>
          <w:szCs w:val="22"/>
          <w:lang w:eastAsia="fr-FR"/>
        </w:rPr>
        <w:t>« </w:t>
      </w:r>
      <w:r w:rsidR="00F62404">
        <w:rPr>
          <w:rFonts w:eastAsia="Times New Roman"/>
          <w:szCs w:val="22"/>
          <w:lang w:eastAsia="fr-FR"/>
        </w:rPr>
        <w:t xml:space="preserve">la honte de prendre l’avion », </w:t>
      </w:r>
      <w:r w:rsidR="00B31BAA">
        <w:rPr>
          <w:rFonts w:eastAsia="Times New Roman"/>
          <w:szCs w:val="22"/>
          <w:lang w:eastAsia="fr-FR"/>
        </w:rPr>
        <w:t>jusqu’à</w:t>
      </w:r>
      <w:r w:rsidR="006A5F8D">
        <w:rPr>
          <w:rFonts w:eastAsia="Times New Roman"/>
          <w:szCs w:val="22"/>
          <w:lang w:eastAsia="fr-FR"/>
        </w:rPr>
        <w:t>, semble-t-il,</w:t>
      </w:r>
      <w:r w:rsidR="00B31BAA">
        <w:rPr>
          <w:rFonts w:eastAsia="Times New Roman"/>
          <w:szCs w:val="22"/>
          <w:lang w:eastAsia="fr-FR"/>
        </w:rPr>
        <w:t xml:space="preserve"> provoquer une baisse du traf</w:t>
      </w:r>
      <w:r w:rsidR="006736E1">
        <w:rPr>
          <w:rFonts w:eastAsia="Times New Roman"/>
          <w:szCs w:val="22"/>
          <w:lang w:eastAsia="fr-FR"/>
        </w:rPr>
        <w:t>ic passager des vols intérieur</w:t>
      </w:r>
      <w:r w:rsidR="00B31BAA">
        <w:rPr>
          <w:rFonts w:eastAsia="Times New Roman"/>
          <w:szCs w:val="22"/>
          <w:lang w:eastAsia="fr-FR"/>
        </w:rPr>
        <w:t>s</w:t>
      </w:r>
      <w:r w:rsidR="003B04F1">
        <w:rPr>
          <w:rStyle w:val="Marquenotebasdepage"/>
          <w:rFonts w:eastAsia="Times New Roman"/>
          <w:szCs w:val="22"/>
          <w:lang w:eastAsia="fr-FR"/>
        </w:rPr>
        <w:footnoteReference w:id="3"/>
      </w:r>
      <w:r w:rsidR="006736E1">
        <w:rPr>
          <w:rFonts w:eastAsia="Times New Roman"/>
          <w:szCs w:val="22"/>
          <w:lang w:eastAsia="fr-FR"/>
        </w:rPr>
        <w:t> </w:t>
      </w:r>
      <w:r w:rsidR="006736E1">
        <w:t xml:space="preserve">; </w:t>
      </w:r>
      <w:r w:rsidR="00E712D7">
        <w:t>d</w:t>
      </w:r>
      <w:r w:rsidR="008F53E1">
        <w:t>eux millions</w:t>
      </w:r>
      <w:r w:rsidR="00B31BAA">
        <w:t xml:space="preserve"> </w:t>
      </w:r>
      <w:r w:rsidR="00E712D7">
        <w:t xml:space="preserve">cent quatre-vingt deux mille cinq cent soixante quatre </w:t>
      </w:r>
      <w:r w:rsidR="00B31BAA">
        <w:t>Françai</w:t>
      </w:r>
      <w:r w:rsidR="00CC3CD9">
        <w:t>s.e.</w:t>
      </w:r>
      <w:r w:rsidR="00B31BAA">
        <w:t xml:space="preserve">s qui </w:t>
      </w:r>
      <w:r w:rsidR="00E712D7">
        <w:t>ont signé</w:t>
      </w:r>
      <w:r w:rsidR="00B31BAA">
        <w:t xml:space="preserve"> </w:t>
      </w:r>
      <w:r w:rsidR="00626F28">
        <w:t>une pétition présentée comme « L’affaire du siècle »</w:t>
      </w:r>
      <w:r w:rsidR="003406F1">
        <w:t xml:space="preserve">, </w:t>
      </w:r>
      <w:r w:rsidR="008C15E6">
        <w:t>fustigeant l’inertie de l’État</w:t>
      </w:r>
      <w:r w:rsidR="00B31BAA">
        <w:t xml:space="preserve"> et le non-respect de ses engagements climatiques</w:t>
      </w:r>
      <w:r w:rsidR="003406F1">
        <w:rPr>
          <w:rStyle w:val="Marquenotebasdepage"/>
        </w:rPr>
        <w:footnoteReference w:id="4"/>
      </w:r>
      <w:r w:rsidR="00626F28">
        <w:t xml:space="preserve"> ; </w:t>
      </w:r>
      <w:r w:rsidR="00F63693">
        <w:t xml:space="preserve">des mouvements écolo et radicaux, prônant la désobéissance civile </w:t>
      </w:r>
      <w:r w:rsidR="006A5F8D">
        <w:t>devant</w:t>
      </w:r>
      <w:r w:rsidR="00F63693">
        <w:t xml:space="preserve"> l’urgence climatique</w:t>
      </w:r>
      <w:r w:rsidR="00C22A62">
        <w:rPr>
          <w:rStyle w:val="Marquenotebasdepage"/>
        </w:rPr>
        <w:footnoteReference w:id="5"/>
      </w:r>
      <w:r w:rsidR="00AE5440">
        <w:t>,</w:t>
      </w:r>
      <w:r w:rsidR="00F63693">
        <w:t xml:space="preserve"> qui se multiplient, à l’instar d’Extinction Rebellion,</w:t>
      </w:r>
      <w:r w:rsidR="00AE5440">
        <w:t xml:space="preserve"> né à Londres, il y a </w:t>
      </w:r>
      <w:r w:rsidR="00D01D22">
        <w:t>un peu plus</w:t>
      </w:r>
      <w:r w:rsidR="00F63693">
        <w:t xml:space="preserve"> </w:t>
      </w:r>
      <w:r w:rsidR="00AE5440">
        <w:t>d’</w:t>
      </w:r>
      <w:r w:rsidR="00626F28">
        <w:t>un an</w:t>
      </w:r>
      <w:r w:rsidR="00515469">
        <w:t xml:space="preserve">, </w:t>
      </w:r>
      <w:r w:rsidR="00626F28">
        <w:t>au risque</w:t>
      </w:r>
      <w:r w:rsidR="00515469">
        <w:t xml:space="preserve"> de se faire gazer (pour avoir b</w:t>
      </w:r>
      <w:r w:rsidR="00626F28">
        <w:t>loqué un pont), inculper (pour avoir dérobé un portait présidentiel</w:t>
      </w:r>
      <w:r w:rsidR="00515469">
        <w:t>)</w:t>
      </w:r>
      <w:r w:rsidR="008C15E6">
        <w:t>, condamné (pour avoir occupé un champ appartenant à RTE)</w:t>
      </w:r>
      <w:r w:rsidR="00515469">
        <w:t> ; des expériences de vie alternatives</w:t>
      </w:r>
      <w:r w:rsidR="002F7769">
        <w:t xml:space="preserve">, inventives </w:t>
      </w:r>
      <w:r w:rsidR="00BF26A7">
        <w:t xml:space="preserve">et habitantes, </w:t>
      </w:r>
      <w:r w:rsidR="00515469">
        <w:t xml:space="preserve">qui éclosent un peu partout, parfois sans bruit, </w:t>
      </w:r>
      <w:r w:rsidR="00BF26A7">
        <w:t>parfois durement réprimées</w:t>
      </w:r>
      <w:r w:rsidR="003406F1">
        <w:t xml:space="preserve"> com</w:t>
      </w:r>
      <w:r w:rsidR="00A149C3">
        <w:t xml:space="preserve">me à Notre-Dame-des-Landes, à </w:t>
      </w:r>
      <w:r w:rsidR="003406F1">
        <w:t>Bure</w:t>
      </w:r>
      <w:r w:rsidR="00A149C3">
        <w:t xml:space="preserve"> et à Saint-Victor (Aveyron)</w:t>
      </w:r>
      <w:r w:rsidR="00BF26A7">
        <w:t>, toutes</w:t>
      </w:r>
      <w:r w:rsidR="00515469">
        <w:t xml:space="preserve"> port</w:t>
      </w:r>
      <w:r w:rsidR="00B31BAA">
        <w:t>ée</w:t>
      </w:r>
      <w:r w:rsidR="00BF26A7">
        <w:t>s</w:t>
      </w:r>
      <w:r w:rsidR="00B31BAA">
        <w:t xml:space="preserve"> par le sentiment d</w:t>
      </w:r>
      <w:r w:rsidR="003B04F1">
        <w:t xml:space="preserve">e la </w:t>
      </w:r>
      <w:r w:rsidR="00B31BAA">
        <w:t xml:space="preserve">nécessité </w:t>
      </w:r>
      <w:r w:rsidR="002F7769">
        <w:t>de</w:t>
      </w:r>
      <w:r w:rsidR="00515469">
        <w:t xml:space="preserve"> changer </w:t>
      </w:r>
      <w:r w:rsidR="00515469" w:rsidRPr="002F7769">
        <w:rPr>
          <w:i/>
        </w:rPr>
        <w:t>de</w:t>
      </w:r>
      <w:r w:rsidR="00515469">
        <w:t xml:space="preserve"> monde… </w:t>
      </w:r>
    </w:p>
    <w:p w14:paraId="75884FDF" w14:textId="241D7E13" w:rsidR="008C15E6" w:rsidRDefault="00515469" w:rsidP="005F31EF">
      <w:pPr>
        <w:ind w:firstLine="284"/>
      </w:pPr>
      <w:r>
        <w:t>Précisément</w:t>
      </w:r>
      <w:r w:rsidR="008C15E6">
        <w:t>,</w:t>
      </w:r>
      <w:r>
        <w:t xml:space="preserve"> les battements de notre monde trahissent des arythmies inquiétantes </w:t>
      </w:r>
      <w:r w:rsidR="008C15E6">
        <w:t>auxquelles répondent</w:t>
      </w:r>
      <w:r>
        <w:t xml:space="preserve"> ces situations </w:t>
      </w:r>
      <w:r w:rsidR="002F7769">
        <w:t>brièvement égrenées</w:t>
      </w:r>
      <w:r w:rsidR="00747241">
        <w:t>,</w:t>
      </w:r>
      <w:r w:rsidR="002F7769">
        <w:t xml:space="preserve"> </w:t>
      </w:r>
      <w:r>
        <w:t xml:space="preserve">et qui ne devraient pas, plus, de moins en moins échapper à notre conscience : </w:t>
      </w:r>
      <w:r w:rsidR="007A2C8E">
        <w:t>des événements extrêmes qui se rapprochent d’années plus chaudes en années plus</w:t>
      </w:r>
      <w:r w:rsidR="00D826B0">
        <w:t xml:space="preserve"> chaudes et</w:t>
      </w:r>
      <w:r w:rsidR="00BF26A7">
        <w:t xml:space="preserve"> qui</w:t>
      </w:r>
      <w:r w:rsidR="00D826B0">
        <w:t>, de records en</w:t>
      </w:r>
      <w:r w:rsidR="007A2C8E">
        <w:t xml:space="preserve"> canicules</w:t>
      </w:r>
      <w:r w:rsidR="003406F1">
        <w:t xml:space="preserve"> et inversement</w:t>
      </w:r>
      <w:r w:rsidR="007A2C8E">
        <w:t>, ont déjà atteint</w:t>
      </w:r>
      <w:r w:rsidR="00A149C3">
        <w:t xml:space="preserve"> les rives de nos pays riches – il en est même qui littéralement s’embrasent</w:t>
      </w:r>
      <w:r w:rsidR="00994528">
        <w:t xml:space="preserve"> et donnent un avant-goût de fin du monde</w:t>
      </w:r>
      <w:r w:rsidR="00FC4396">
        <w:rPr>
          <w:rStyle w:val="Marquenotebasdepage"/>
        </w:rPr>
        <w:footnoteReference w:id="6"/>
      </w:r>
      <w:r w:rsidR="00A149C3">
        <w:t xml:space="preserve">. </w:t>
      </w:r>
      <w:r w:rsidR="00C14DF9">
        <w:t>D</w:t>
      </w:r>
      <w:r w:rsidR="006532BC">
        <w:t xml:space="preserve">es alertes médiatiques </w:t>
      </w:r>
      <w:r w:rsidR="00682656">
        <w:t xml:space="preserve">et scientifiques </w:t>
      </w:r>
      <w:r w:rsidR="006532BC">
        <w:t>de plu</w:t>
      </w:r>
      <w:r w:rsidR="00682656">
        <w:t xml:space="preserve">s en plus nombreuses, </w:t>
      </w:r>
      <w:r w:rsidR="006532BC">
        <w:t xml:space="preserve">des chiffres </w:t>
      </w:r>
      <w:r w:rsidR="00682656">
        <w:t>toujours</w:t>
      </w:r>
      <w:r w:rsidR="006532BC">
        <w:t xml:space="preserve"> plus alarmiste</w:t>
      </w:r>
      <w:r w:rsidR="00682656">
        <w:t xml:space="preserve"> et des prévisions régulièrement réajustées à la hausse </w:t>
      </w:r>
      <w:r w:rsidR="00C45FCC">
        <w:t xml:space="preserve">inondent nos quotidiens : </w:t>
      </w:r>
      <w:r w:rsidR="00A149C3">
        <w:t>montée des eaux, déplacement des populations (estimation du GIEC à 680 millions</w:t>
      </w:r>
      <w:r w:rsidR="00A149C3">
        <w:rPr>
          <w:rStyle w:val="Marquenotebasdepage"/>
        </w:rPr>
        <w:footnoteReference w:id="7"/>
      </w:r>
      <w:r w:rsidR="00A149C3">
        <w:t>), acidification</w:t>
      </w:r>
      <w:r w:rsidR="006532BC">
        <w:t xml:space="preserve"> des océans, </w:t>
      </w:r>
      <w:r w:rsidR="00C45FCC">
        <w:t xml:space="preserve">diversité de la vie en péril, </w:t>
      </w:r>
      <w:r w:rsidR="00FE0BAD">
        <w:t xml:space="preserve">extensions des </w:t>
      </w:r>
      <w:r w:rsidR="006532BC">
        <w:t>zones mortes</w:t>
      </w:r>
      <w:r w:rsidR="00C45FCC">
        <w:t xml:space="preserve">, </w:t>
      </w:r>
      <w:r w:rsidR="00FE0BAD">
        <w:t xml:space="preserve">effondrement des </w:t>
      </w:r>
      <w:r w:rsidR="00C45FCC">
        <w:t>populations d’inse</w:t>
      </w:r>
      <w:r w:rsidR="006532BC">
        <w:t xml:space="preserve">ctes </w:t>
      </w:r>
      <w:r w:rsidR="00C45FCC">
        <w:t>ou</w:t>
      </w:r>
      <w:r w:rsidR="006532BC">
        <w:t xml:space="preserve"> d’animaux sauvages</w:t>
      </w:r>
      <w:r w:rsidR="008C15E6">
        <w:t xml:space="preserve">, plastiques </w:t>
      </w:r>
      <w:r w:rsidR="00BF26A7">
        <w:t xml:space="preserve">jusqu’au fond des abysses </w:t>
      </w:r>
      <w:r w:rsidR="008C15E6">
        <w:t>et pesticides</w:t>
      </w:r>
      <w:r w:rsidR="00BF26A7">
        <w:t xml:space="preserve"> jusque dans nos urines</w:t>
      </w:r>
      <w:r w:rsidR="008C15E6">
        <w:t xml:space="preserve">, </w:t>
      </w:r>
      <w:r w:rsidR="00A149C3">
        <w:t xml:space="preserve">etc., etc., </w:t>
      </w:r>
      <w:r w:rsidR="00BF26A7">
        <w:t>et la petite musique</w:t>
      </w:r>
      <w:r w:rsidR="00C14DF9">
        <w:t xml:space="preserve"> du réchauffement</w:t>
      </w:r>
      <w:r w:rsidR="00BF26A7">
        <w:t xml:space="preserve"> : </w:t>
      </w:r>
      <w:r w:rsidR="008C15E6">
        <w:t>2, 3, 4</w:t>
      </w:r>
      <w:r w:rsidR="00BF26A7">
        <w:t xml:space="preserve">, </w:t>
      </w:r>
      <w:r w:rsidR="008C15E6">
        <w:t>5 degrés à l’horizon du 22è</w:t>
      </w:r>
      <w:r w:rsidR="006A5F8D">
        <w:t>me</w:t>
      </w:r>
      <w:r w:rsidR="008C15E6">
        <w:t xml:space="preserve"> siècle…</w:t>
      </w:r>
      <w:r w:rsidR="00626F28">
        <w:t xml:space="preserve"> </w:t>
      </w:r>
    </w:p>
    <w:p w14:paraId="306DCF7A" w14:textId="2F6EC73B" w:rsidR="00DF697F" w:rsidRDefault="00626F28" w:rsidP="005F31EF">
      <w:pPr>
        <w:ind w:firstLine="284"/>
      </w:pPr>
      <w:r>
        <w:t xml:space="preserve">Notre époque est tout entière </w:t>
      </w:r>
      <w:r w:rsidR="00C14DF9">
        <w:t>contenu</w:t>
      </w:r>
      <w:r w:rsidR="006649BC">
        <w:t>e</w:t>
      </w:r>
      <w:r w:rsidR="00C14DF9">
        <w:t xml:space="preserve"> dans un terme</w:t>
      </w:r>
      <w:r w:rsidR="006649BC">
        <w:t xml:space="preserve"> et </w:t>
      </w:r>
      <w:r w:rsidR="00A149C3">
        <w:t>une de ses</w:t>
      </w:r>
      <w:r w:rsidR="006649BC">
        <w:t xml:space="preserve"> variante</w:t>
      </w:r>
      <w:r w:rsidR="00A149C3">
        <w:t>s</w:t>
      </w:r>
      <w:r w:rsidR="006649BC">
        <w:t xml:space="preserve">, </w:t>
      </w:r>
      <w:r w:rsidR="005F31EF">
        <w:t>le premier énoncé</w:t>
      </w:r>
      <w:r w:rsidR="006649BC">
        <w:t xml:space="preserve"> voici vingt ans</w:t>
      </w:r>
      <w:r w:rsidR="005F31EF">
        <w:t>,</w:t>
      </w:r>
      <w:r w:rsidR="006649BC">
        <w:t xml:space="preserve"> </w:t>
      </w:r>
      <w:r w:rsidR="000813BC">
        <w:t xml:space="preserve">et </w:t>
      </w:r>
      <w:r w:rsidR="006649BC">
        <w:t>qui finalement sont</w:t>
      </w:r>
      <w:r w:rsidR="000813BC">
        <w:t>, tous deux,</w:t>
      </w:r>
      <w:r w:rsidR="006649BC">
        <w:t xml:space="preserve"> le moteur </w:t>
      </w:r>
      <w:r w:rsidR="005F31EF">
        <w:t xml:space="preserve">ou le mobile </w:t>
      </w:r>
      <w:r w:rsidR="006649BC">
        <w:t>des actions</w:t>
      </w:r>
      <w:r w:rsidR="0065628D">
        <w:t xml:space="preserve"> énumérées ci-dessus : « a</w:t>
      </w:r>
      <w:r w:rsidR="006649BC">
        <w:t>nthropocène</w:t>
      </w:r>
      <w:r w:rsidR="0065628D">
        <w:t> »</w:t>
      </w:r>
      <w:r w:rsidR="006649BC">
        <w:t xml:space="preserve">, pour le discours de la superbe – une humanité superbe, quoi qu’il advienne ! </w:t>
      </w:r>
      <w:r w:rsidR="0065628D">
        <w:t>« </w:t>
      </w:r>
      <w:r w:rsidR="006649BC">
        <w:t>Capitalocène</w:t>
      </w:r>
      <w:r w:rsidR="0065628D">
        <w:t> »</w:t>
      </w:r>
      <w:r w:rsidR="006649BC">
        <w:t xml:space="preserve">, pour </w:t>
      </w:r>
      <w:r w:rsidR="000813BC">
        <w:t xml:space="preserve">en rabattre, pour </w:t>
      </w:r>
      <w:r w:rsidR="006649BC">
        <w:t xml:space="preserve">le discours </w:t>
      </w:r>
      <w:r w:rsidR="0051232A">
        <w:t>des causes et de</w:t>
      </w:r>
      <w:r w:rsidR="006A5F8D">
        <w:t>s responsabilit</w:t>
      </w:r>
      <w:r w:rsidR="008553ED">
        <w:t>és occidentales. Ent</w:t>
      </w:r>
      <w:r w:rsidR="000813BC">
        <w:t>re les deux, s’est installé</w:t>
      </w:r>
      <w:r w:rsidR="00932BB8">
        <w:t xml:space="preserve"> un horizon pour </w:t>
      </w:r>
      <w:r w:rsidR="00D01D22">
        <w:t>les générations présentes</w:t>
      </w:r>
      <w:r w:rsidR="00932BB8">
        <w:t>, celui</w:t>
      </w:r>
      <w:r w:rsidR="008553ED">
        <w:t xml:space="preserve"> de l’effondrement</w:t>
      </w:r>
      <w:r w:rsidR="00524369">
        <w:rPr>
          <w:rStyle w:val="Marquenotebasdepage"/>
        </w:rPr>
        <w:footnoteReference w:id="8"/>
      </w:r>
      <w:r w:rsidR="00932BB8">
        <w:t xml:space="preserve">. </w:t>
      </w:r>
      <w:r w:rsidR="00F44B3F">
        <w:t>Sans doute ne fait-il pas l’unanimité et partage</w:t>
      </w:r>
      <w:r w:rsidR="005F31EF">
        <w:t>-t-il</w:t>
      </w:r>
      <w:r w:rsidR="00F44B3F">
        <w:t xml:space="preserve"> ce</w:t>
      </w:r>
      <w:r w:rsidR="00CC3CD9">
        <w:t>lles et ce</w:t>
      </w:r>
      <w:r w:rsidR="00F44B3F">
        <w:t xml:space="preserve">ux qui </w:t>
      </w:r>
      <w:r w:rsidR="00932BB8">
        <w:t>cède</w:t>
      </w:r>
      <w:r w:rsidR="00F44B3F">
        <w:t>nt</w:t>
      </w:r>
      <w:r w:rsidR="00932BB8">
        <w:t xml:space="preserve"> aux sirènes de la catastrophe annoncée</w:t>
      </w:r>
      <w:r w:rsidR="00E0788A">
        <w:t xml:space="preserve">, </w:t>
      </w:r>
      <w:r w:rsidR="000D2782">
        <w:t>perçu</w:t>
      </w:r>
      <w:r w:rsidR="00E0788A">
        <w:t>e</w:t>
      </w:r>
      <w:r w:rsidR="000D2782">
        <w:t xml:space="preserve"> comme inéluctable</w:t>
      </w:r>
      <w:r w:rsidR="00BC2346">
        <w:t>,</w:t>
      </w:r>
      <w:r w:rsidR="000D2782">
        <w:t xml:space="preserve"> </w:t>
      </w:r>
      <w:r w:rsidR="00E0788A">
        <w:t xml:space="preserve">et </w:t>
      </w:r>
      <w:r w:rsidR="00A87B56">
        <w:t xml:space="preserve">qui leur </w:t>
      </w:r>
      <w:r w:rsidR="005F3FCA">
        <w:t>enjoigne</w:t>
      </w:r>
      <w:r w:rsidR="00A87B56">
        <w:t>nt</w:t>
      </w:r>
      <w:r w:rsidR="005F3FCA">
        <w:t xml:space="preserve"> de </w:t>
      </w:r>
      <w:r w:rsidR="00E0788A">
        <w:t xml:space="preserve">se préparer </w:t>
      </w:r>
      <w:r w:rsidR="00F44B3F">
        <w:t>et ce</w:t>
      </w:r>
      <w:r w:rsidR="00CC3CD9">
        <w:t>lles et ce</w:t>
      </w:r>
      <w:r w:rsidR="00F44B3F">
        <w:t xml:space="preserve">ux qui s’insurgent </w:t>
      </w:r>
      <w:r w:rsidR="000D2782">
        <w:t xml:space="preserve">contre ce discours </w:t>
      </w:r>
      <w:r w:rsidR="00F44B3F">
        <w:t xml:space="preserve">le jugeant </w:t>
      </w:r>
      <w:r w:rsidR="00ED1E41">
        <w:t xml:space="preserve">réactionnaire et dépolitisant, </w:t>
      </w:r>
      <w:r w:rsidR="00E0788A">
        <w:t xml:space="preserve">toxique, </w:t>
      </w:r>
      <w:r w:rsidR="00ED1E41">
        <w:t>infantilisant</w:t>
      </w:r>
      <w:r w:rsidR="00F44B3F">
        <w:t xml:space="preserve"> et</w:t>
      </w:r>
      <w:r w:rsidR="00E0788A">
        <w:t xml:space="preserve"> occultant les multiples possibilités de notre présent malgré ou peut-être grâce à l’obscurité de notre futur</w:t>
      </w:r>
      <w:r w:rsidR="003B04F1">
        <w:rPr>
          <w:rStyle w:val="Marquenotebasdepage"/>
        </w:rPr>
        <w:footnoteReference w:id="9"/>
      </w:r>
      <w:r w:rsidR="00F44B3F">
        <w:t>. Pour autant</w:t>
      </w:r>
      <w:r w:rsidR="00106227">
        <w:t>,</w:t>
      </w:r>
      <w:r w:rsidR="00F44B3F">
        <w:t xml:space="preserve"> quelle que soit </w:t>
      </w:r>
      <w:r w:rsidR="00A9321B">
        <w:t xml:space="preserve">la position </w:t>
      </w:r>
      <w:r w:rsidR="00911E8E">
        <w:t xml:space="preserve">prise </w:t>
      </w:r>
      <w:r w:rsidR="00A9321B">
        <w:t>dans</w:t>
      </w:r>
      <w:r w:rsidR="00F44B3F">
        <w:t xml:space="preserve"> ce débat, est-il encore </w:t>
      </w:r>
      <w:r w:rsidR="00F44B3F">
        <w:lastRenderedPageBreak/>
        <w:t>possible de ne pas entendre</w:t>
      </w:r>
      <w:r w:rsidR="00E0788A">
        <w:t xml:space="preserve"> les alertes ni </w:t>
      </w:r>
      <w:r w:rsidR="00CC3CD9">
        <w:t>de négliger les questions</w:t>
      </w:r>
      <w:r w:rsidR="00E0788A">
        <w:t xml:space="preserve"> que cet horizon </w:t>
      </w:r>
      <w:r w:rsidR="00911E8E">
        <w:t>et sa ré</w:t>
      </w:r>
      <w:r w:rsidR="00A9321B">
        <w:t>ception</w:t>
      </w:r>
      <w:r w:rsidR="00911E8E">
        <w:t>, au-delà des textes de ses porte-parole, par une grande diversité</w:t>
      </w:r>
      <w:r w:rsidR="0065628D">
        <w:t xml:space="preserve"> de personnes et de collectifs,</w:t>
      </w:r>
      <w:r w:rsidR="00A9321B">
        <w:t xml:space="preserve"> </w:t>
      </w:r>
      <w:r w:rsidR="00E0788A">
        <w:t>pose</w:t>
      </w:r>
      <w:r w:rsidR="00911E8E">
        <w:t>nt</w:t>
      </w:r>
      <w:r w:rsidR="00F44B3F">
        <w:t> ?</w:t>
      </w:r>
      <w:r w:rsidR="00911E8E">
        <w:rPr>
          <w:rStyle w:val="Marquenotebasdepage"/>
        </w:rPr>
        <w:footnoteReference w:id="10"/>
      </w:r>
      <w:r w:rsidR="00E0788A">
        <w:t xml:space="preserve"> </w:t>
      </w:r>
      <w:r w:rsidR="00CC3CD9">
        <w:t>Si on peut ne pas adhérer à la</w:t>
      </w:r>
      <w:r w:rsidR="00A149C3">
        <w:t xml:space="preserve"> philosophie de l’effondrement,</w:t>
      </w:r>
      <w:r w:rsidR="00CC3CD9">
        <w:t xml:space="preserve"> la collapsosophie</w:t>
      </w:r>
      <w:r w:rsidR="00524369">
        <w:rPr>
          <w:rStyle w:val="Marquenotebasdepage"/>
        </w:rPr>
        <w:footnoteReference w:id="11"/>
      </w:r>
      <w:r w:rsidR="00CC3CD9">
        <w:t>, c'est-à-dire</w:t>
      </w:r>
      <w:r w:rsidR="00663347">
        <w:t xml:space="preserve"> une </w:t>
      </w:r>
      <w:r w:rsidR="001854B6">
        <w:t>c</w:t>
      </w:r>
      <w:r w:rsidR="00663347">
        <w:t xml:space="preserve">ertaine </w:t>
      </w:r>
      <w:r w:rsidR="00CC3CD9">
        <w:t xml:space="preserve">attitude </w:t>
      </w:r>
      <w:r w:rsidR="00965F24">
        <w:t xml:space="preserve">pour faire face </w:t>
      </w:r>
      <w:r w:rsidR="0065628D">
        <w:t xml:space="preserve">aux troubles, tels que </w:t>
      </w:r>
      <w:r w:rsidR="00965F24">
        <w:t>la solasta</w:t>
      </w:r>
      <w:r w:rsidR="00741C80">
        <w:t>l</w:t>
      </w:r>
      <w:r w:rsidR="00965F24">
        <w:t>gie</w:t>
      </w:r>
      <w:r w:rsidR="0065628D">
        <w:rPr>
          <w:rStyle w:val="Marquenotebasdepage"/>
        </w:rPr>
        <w:footnoteReference w:id="12"/>
      </w:r>
      <w:r w:rsidR="00965F24">
        <w:t xml:space="preserve"> ou à l’éco-anxiété</w:t>
      </w:r>
      <w:r w:rsidR="0065628D">
        <w:t>, nés des évènements et leur médiatisation qui rythment désormais notre quotidien</w:t>
      </w:r>
      <w:r w:rsidR="00CC3CD9">
        <w:t>, il n’est</w:t>
      </w:r>
      <w:r w:rsidR="00200DA9">
        <w:t xml:space="preserve"> guère contestable que « nous », humain·e·s, </w:t>
      </w:r>
      <w:r w:rsidR="00CC3CD9">
        <w:t xml:space="preserve">avons un problème. </w:t>
      </w:r>
      <w:r w:rsidR="00663347">
        <w:t xml:space="preserve">Ce problème </w:t>
      </w:r>
      <w:r w:rsidR="002551AB">
        <w:t>a néces</w:t>
      </w:r>
      <w:r w:rsidR="00BB1734">
        <w:t>s</w:t>
      </w:r>
      <w:r w:rsidR="002551AB">
        <w:t>airement des</w:t>
      </w:r>
      <w:r w:rsidR="00BB1734">
        <w:t xml:space="preserve"> </w:t>
      </w:r>
      <w:r w:rsidR="002551AB">
        <w:t xml:space="preserve">dimensions </w:t>
      </w:r>
      <w:r w:rsidR="00BB1734">
        <w:t xml:space="preserve">multiples et interdépendantes – il est </w:t>
      </w:r>
      <w:r w:rsidR="00E14F77">
        <w:t xml:space="preserve">à la fois </w:t>
      </w:r>
      <w:r w:rsidR="00063386">
        <w:t>environnemental</w:t>
      </w:r>
      <w:r w:rsidR="00BB1734">
        <w:t xml:space="preserve">, écologique, politique, social, économique…, </w:t>
      </w:r>
      <w:r w:rsidR="00667FC8">
        <w:t xml:space="preserve">en </w:t>
      </w:r>
      <w:r w:rsidR="005F31EF">
        <w:t>somme</w:t>
      </w:r>
      <w:r w:rsidR="00BB1734">
        <w:t xml:space="preserve"> « fin de mois, fin de démocratie, fin de monde » –, </w:t>
      </w:r>
      <w:r w:rsidR="00663347">
        <w:t xml:space="preserve">mais il </w:t>
      </w:r>
      <w:r w:rsidR="00BB1734">
        <w:t xml:space="preserve">reste fortement déterminé par sa composante climatique : </w:t>
      </w:r>
      <w:r w:rsidR="0014360E">
        <w:t>le réchauffement (et pas le changement)</w:t>
      </w:r>
      <w:r w:rsidR="00A7409F">
        <w:t>, c'est-à-dire la perturbation du système terre, est</w:t>
      </w:r>
      <w:r w:rsidR="00BB1734">
        <w:t xml:space="preserve"> l’événement de « l’événement Anthropocène ». </w:t>
      </w:r>
      <w:r w:rsidR="00A87B56">
        <w:t>E</w:t>
      </w:r>
      <w:r w:rsidR="00A7409F">
        <w:t>n sorte que, pour suivre ici Bruno Latour, notre époque est celle de l’entrée dans un « nouveau régime climatique », impliquant si l’on veut y faire face ou s’y adapter la redistribution des puissances d’agir, la redéfinition concomitante des habitants et des manières d’habiter la Terre</w:t>
      </w:r>
      <w:r w:rsidR="00663347">
        <w:t>, une nouvelle conception du territoire</w:t>
      </w:r>
      <w:r w:rsidR="00667FC8">
        <w:rPr>
          <w:rStyle w:val="Marquenotebasdepage"/>
        </w:rPr>
        <w:footnoteReference w:id="13"/>
      </w:r>
      <w:r w:rsidR="00663347">
        <w:t>.</w:t>
      </w:r>
    </w:p>
    <w:p w14:paraId="27FE700F" w14:textId="47DDE4E5" w:rsidR="005D2F3A" w:rsidRDefault="00A76D8D" w:rsidP="004C5414">
      <w:pPr>
        <w:ind w:firstLine="284"/>
      </w:pPr>
      <w:r>
        <w:t>Avons-nous des élus agissant à la hauteur du problème ? Si l’on en croit le magazine de la métropole dijonnaise – pour ne référer qu’à notre environnement</w:t>
      </w:r>
      <w:r w:rsidR="004336C5">
        <w:t xml:space="preserve"> immédiat et laisser de côté l’action ou </w:t>
      </w:r>
      <w:r w:rsidR="009417D7">
        <w:t xml:space="preserve">plutôt </w:t>
      </w:r>
      <w:r w:rsidR="004336C5">
        <w:t>l’inaction de l’État</w:t>
      </w:r>
      <w:r>
        <w:t xml:space="preserve"> –, celle-ci agit contre le réchauffement climatiques, forte de ses labels « territoire à énergie positive pour une croissance verte » et</w:t>
      </w:r>
      <w:r w:rsidR="005D2F3A">
        <w:t xml:space="preserve"> « ville respirable en 5 ans » et se positionne comme un acteur décisif de la transition énergétique : </w:t>
      </w:r>
      <w:r w:rsidR="00CB24F4">
        <w:t>« </w:t>
      </w:r>
      <w:r w:rsidR="004A2DC3">
        <w:t>L</w:t>
      </w:r>
      <w:r w:rsidR="005D2F3A">
        <w:t>es mentalités commencent à bouger même si les résultats concrets ne sont pas toujours à la hauteur de l’urgence</w:t>
      </w:r>
      <w:r w:rsidR="00CB24F4">
        <w:t>. Notre territoire mise sur un fort potentiel de changement, incarné par l’investissement des jeunes générations en faveur du climat et par une prise de conscience plus générale », écrit F. Rebsamen</w:t>
      </w:r>
      <w:r w:rsidR="00106227">
        <w:rPr>
          <w:rStyle w:val="Marquenotebasdepage"/>
        </w:rPr>
        <w:footnoteReference w:id="14"/>
      </w:r>
      <w:r w:rsidR="00CB24F4">
        <w:t xml:space="preserve">. </w:t>
      </w:r>
      <w:r w:rsidR="004A2DC3">
        <w:t>Patrimoine, t</w:t>
      </w:r>
      <w:r w:rsidR="005D2F3A">
        <w:t xml:space="preserve">ourisme </w:t>
      </w:r>
      <w:r w:rsidR="004A2DC3">
        <w:t>durable</w:t>
      </w:r>
      <w:r w:rsidR="005D2F3A">
        <w:t>, recyclage, autonomie alimentaire</w:t>
      </w:r>
      <w:r w:rsidR="004336C5">
        <w:t xml:space="preserve">, </w:t>
      </w:r>
      <w:r w:rsidR="000813BC">
        <w:t xml:space="preserve">éco-quartiers, </w:t>
      </w:r>
      <w:r w:rsidR="004336C5">
        <w:t xml:space="preserve">réseau intelligent… Dijon offre la panoplie de la transformation standard de la ville </w:t>
      </w:r>
      <w:r w:rsidR="002551AB">
        <w:t>« </w:t>
      </w:r>
      <w:r w:rsidR="004336C5">
        <w:t>en firme territoriale</w:t>
      </w:r>
      <w:r w:rsidR="00BB1734">
        <w:t> »</w:t>
      </w:r>
      <w:r w:rsidR="004336C5">
        <w:rPr>
          <w:rStyle w:val="Marquenotebasdepage"/>
        </w:rPr>
        <w:footnoteReference w:id="15"/>
      </w:r>
      <w:r w:rsidR="004C5414">
        <w:t> </w:t>
      </w:r>
      <w:r w:rsidR="00106227">
        <w:t xml:space="preserve">. </w:t>
      </w:r>
      <w:r w:rsidR="000813BC">
        <w:t xml:space="preserve">L’insistance à déclarer la ville comme la bonne élève de la transition doit nous </w:t>
      </w:r>
      <w:r w:rsidR="000813BC" w:rsidRPr="006A06D2">
        <w:t xml:space="preserve">interroger </w:t>
      </w:r>
      <w:r w:rsidR="006A06D2">
        <w:t xml:space="preserve">en ce qu’elle est </w:t>
      </w:r>
      <w:r w:rsidR="000813BC" w:rsidRPr="006A06D2">
        <w:t>à la fois attestation du problème</w:t>
      </w:r>
      <w:r w:rsidR="000813BC">
        <w:t xml:space="preserve"> </w:t>
      </w:r>
      <w:r w:rsidR="006A06D2">
        <w:t xml:space="preserve">et sa banalisation. </w:t>
      </w:r>
      <w:r w:rsidR="00106227">
        <w:t>Cela peut se dire d’autres manières</w:t>
      </w:r>
      <w:r w:rsidR="00D26E03">
        <w:t> :</w:t>
      </w:r>
      <w:r w:rsidR="003075DF">
        <w:t xml:space="preserve"> « Dormez braves gens, nous veillons », « faites-nous confiance, nous nous occupons de tout », « nous aménageons pour vous votre présent</w:t>
      </w:r>
      <w:r w:rsidR="004C5414">
        <w:t xml:space="preserve"> et le futur de vos enfants », etc. etc.</w:t>
      </w:r>
      <w:r w:rsidR="003075DF">
        <w:t xml:space="preserve"> </w:t>
      </w:r>
      <w:r w:rsidR="004C5414">
        <w:t xml:space="preserve">Au fils des jours, des semaines et de mois, des toujours plus mauvaises nouvelles du toujours </w:t>
      </w:r>
      <w:r w:rsidR="0014252C">
        <w:t xml:space="preserve">plus </w:t>
      </w:r>
      <w:r w:rsidR="00A87B56">
        <w:t>mauvais état de la planète</w:t>
      </w:r>
      <w:r w:rsidR="004C5414">
        <w:t xml:space="preserve"> diffusées dans toujours plus d</w:t>
      </w:r>
      <w:r w:rsidR="005979BA">
        <w:t>e médias, alors qu’il serait de moins en moins</w:t>
      </w:r>
      <w:r w:rsidR="004C5414">
        <w:t xml:space="preserve"> possible de dire « nous ne savions pas », voici que se creuse l’écart ou le fossé entre des prises en main ou à bras le corps du problème – alternatives, citoyennes, radicales, prometteuses ou désespérées – et sa gestion par les </w:t>
      </w:r>
      <w:r w:rsidR="008503DC">
        <w:t xml:space="preserve">institutions technocratiques et </w:t>
      </w:r>
      <w:r w:rsidR="004C5414">
        <w:t>délégatives de la puissance publique</w:t>
      </w:r>
      <w:r w:rsidR="005979BA">
        <w:t>. Celles-ci, de fait, dépolitisent et douchent les velléités d’initiatives</w:t>
      </w:r>
      <w:r w:rsidR="006626D2">
        <w:t xml:space="preserve"> – soit donc par </w:t>
      </w:r>
      <w:r w:rsidR="005F3FCA">
        <w:t>e</w:t>
      </w:r>
      <w:r w:rsidR="006626D2">
        <w:t xml:space="preserve">xemple </w:t>
      </w:r>
      <w:r w:rsidR="004C5414">
        <w:t xml:space="preserve">la cité de la gastronomie </w:t>
      </w:r>
      <w:r w:rsidR="005F3FCA">
        <w:t>contre</w:t>
      </w:r>
      <w:r w:rsidR="004C5414">
        <w:t xml:space="preserve"> le </w:t>
      </w:r>
      <w:r w:rsidR="009417D7">
        <w:t>potager</w:t>
      </w:r>
      <w:r w:rsidR="004C5414">
        <w:t xml:space="preserve"> des Lentillères.</w:t>
      </w:r>
      <w:r w:rsidR="0014252C">
        <w:t xml:space="preserve"> Comment faire pour que toujours plus de voix s’élèvent </w:t>
      </w:r>
      <w:r w:rsidR="004A6774">
        <w:t xml:space="preserve">et </w:t>
      </w:r>
      <w:r w:rsidR="00D01D22">
        <w:t xml:space="preserve">toujours plus </w:t>
      </w:r>
      <w:r w:rsidR="004A6774">
        <w:t>d’actions concrètes éclosent ?</w:t>
      </w:r>
      <w:r w:rsidR="000813BC">
        <w:t xml:space="preserve"> Comment faire pour que la question climatique – dans le sens élargi que lui confère la notion de « régime climatique » </w:t>
      </w:r>
      <w:r w:rsidR="008A2F72">
        <w:t xml:space="preserve">– </w:t>
      </w:r>
      <w:r w:rsidR="000813BC">
        <w:t xml:space="preserve">soit au </w:t>
      </w:r>
      <w:r w:rsidR="006A06D2">
        <w:t xml:space="preserve">carrefour </w:t>
      </w:r>
      <w:r w:rsidR="003406F1">
        <w:t xml:space="preserve">ou à la pointe </w:t>
      </w:r>
      <w:r w:rsidR="006A06D2">
        <w:t xml:space="preserve">de toutes les actions, </w:t>
      </w:r>
      <w:r w:rsidR="005F3FCA">
        <w:t>qu</w:t>
      </w:r>
      <w:r w:rsidR="006A06D2">
        <w:t xml:space="preserve">elles </w:t>
      </w:r>
      <w:r w:rsidR="005F3FCA">
        <w:t xml:space="preserve">qu’elles </w:t>
      </w:r>
      <w:r w:rsidR="006A06D2">
        <w:t>soient</w:t>
      </w:r>
      <w:r w:rsidR="005F3FCA">
        <w:t xml:space="preserve"> : </w:t>
      </w:r>
      <w:r w:rsidR="000813BC">
        <w:t>politiques</w:t>
      </w:r>
      <w:r w:rsidR="006A06D2">
        <w:t>, urbaines, sociales, culturelles, etc.</w:t>
      </w:r>
      <w:r w:rsidR="000813BC">
        <w:t> ?</w:t>
      </w:r>
    </w:p>
    <w:p w14:paraId="4945E144" w14:textId="56C83FF2" w:rsidR="008A5893" w:rsidRDefault="001854B6" w:rsidP="005F3FCA">
      <w:pPr>
        <w:ind w:firstLine="284"/>
      </w:pPr>
      <w:r>
        <w:t>Répondre à cette question, invite à se tourner v</w:t>
      </w:r>
      <w:r w:rsidR="00485789">
        <w:t xml:space="preserve">ers les institutions du savoir et </w:t>
      </w:r>
      <w:r w:rsidR="00CE654E">
        <w:t xml:space="preserve">à </w:t>
      </w:r>
      <w:r w:rsidR="00485789">
        <w:t>interroger leur capacité à s’en saisir. A</w:t>
      </w:r>
      <w:r w:rsidR="009777B5">
        <w:t xml:space="preserve">vons-nous une université à la hauteur du problème ? </w:t>
      </w:r>
      <w:r w:rsidR="00063386">
        <w:t xml:space="preserve">Avons-nous une équipe de gouvernance – comme on dit pour faire sérieux – et une « communauté » universitaire </w:t>
      </w:r>
      <w:r w:rsidR="000813BC">
        <w:t xml:space="preserve">qui </w:t>
      </w:r>
      <w:r w:rsidR="00485789">
        <w:t>en a</w:t>
      </w:r>
      <w:r w:rsidR="00CE654E">
        <w:t>urai</w:t>
      </w:r>
      <w:r w:rsidR="00063386">
        <w:t>en</w:t>
      </w:r>
      <w:r w:rsidR="00CE654E">
        <w:t>t</w:t>
      </w:r>
      <w:r w:rsidR="00485789">
        <w:t xml:space="preserve"> </w:t>
      </w:r>
      <w:r w:rsidR="000813BC">
        <w:t>pris la mesure com</w:t>
      </w:r>
      <w:r w:rsidR="00485789">
        <w:t xml:space="preserve">me ce qui désormais s’impose à nous et nous oblige. La question pourrait bien </w:t>
      </w:r>
      <w:r w:rsidR="009777B5">
        <w:t>être posée à toutes les éco</w:t>
      </w:r>
      <w:r w:rsidR="00CE654E">
        <w:t>les, tous le</w:t>
      </w:r>
      <w:r w:rsidR="006A06D2">
        <w:t>s</w:t>
      </w:r>
      <w:r w:rsidR="00CE654E">
        <w:t xml:space="preserve"> collèges et lycées, mais questionner l’université est une manière de se confronter à la fonction économique à laquelle il lui est de plus en plus enjoint de s’adonner. Parce que, précisément</w:t>
      </w:r>
      <w:r w:rsidR="00D01D22">
        <w:t>,</w:t>
      </w:r>
      <w:r w:rsidR="00CE654E">
        <w:t xml:space="preserve"> l’université d’aujourd’hui, emportée par la vague néo-libérale, indexe ses missions fondamentales de formation et de recherche sur des indicateurs de performance au service du développement, de la</w:t>
      </w:r>
      <w:r w:rsidR="00063386">
        <w:t xml:space="preserve"> croissance et des territoires, </w:t>
      </w:r>
      <w:r w:rsidR="00CE654E">
        <w:t>parce que, précisément, l’université n’est p</w:t>
      </w:r>
      <w:r w:rsidR="00063386">
        <w:t xml:space="preserve">as </w:t>
      </w:r>
      <w:r w:rsidR="00CE654E">
        <w:t>un espace réservé</w:t>
      </w:r>
      <w:r w:rsidR="00E13E4D">
        <w:t>, indépendant et protégé des turbulences mondaines, mais au contraire, s’avère perméable</w:t>
      </w:r>
      <w:r w:rsidR="006A06D2">
        <w:t xml:space="preserve"> à la gestion entrepreneuriale et au marketing,</w:t>
      </w:r>
      <w:r w:rsidR="00F4779E">
        <w:t xml:space="preserve"> nous devons</w:t>
      </w:r>
      <w:r w:rsidR="00E13E4D">
        <w:t xml:space="preserve"> alors </w:t>
      </w:r>
      <w:r w:rsidR="00F4779E">
        <w:t>nous</w:t>
      </w:r>
      <w:r w:rsidR="006A06D2">
        <w:t xml:space="preserve"> demander comment elle ne peut pas ne pas être concernée par le problème de notre époque. Est-ce à dire </w:t>
      </w:r>
      <w:r w:rsidR="00F4779E">
        <w:t>que son orientation actuelle</w:t>
      </w:r>
      <w:r w:rsidR="00530C5D">
        <w:t>, en tant qu’elle est l’expression d’un modèle civilisationnel responsable du problème,</w:t>
      </w:r>
      <w:r w:rsidR="00F4779E">
        <w:t xml:space="preserve"> la rend </w:t>
      </w:r>
      <w:r w:rsidR="00D414EF">
        <w:t>aveugle</w:t>
      </w:r>
      <w:r w:rsidR="00F4779E">
        <w:t xml:space="preserve"> et sourde à </w:t>
      </w:r>
      <w:r w:rsidR="00775A25">
        <w:t>la perspective anthropocénique</w:t>
      </w:r>
      <w:r w:rsidR="00D66539">
        <w:t xml:space="preserve"> ? </w:t>
      </w:r>
      <w:r w:rsidR="00045E63">
        <w:t xml:space="preserve">Est-ce à dire </w:t>
      </w:r>
      <w:r w:rsidR="00530C5D">
        <w:t xml:space="preserve">également </w:t>
      </w:r>
      <w:r w:rsidR="00045E63">
        <w:t xml:space="preserve">que l’exceptionnalité du problème </w:t>
      </w:r>
      <w:r w:rsidR="00530C5D">
        <w:t xml:space="preserve">et l’incertitude totale qu’il crée appelle de nouvelles </w:t>
      </w:r>
      <w:r w:rsidR="00D66539">
        <w:t xml:space="preserve">réponses, </w:t>
      </w:r>
      <w:r w:rsidR="00530C5D">
        <w:t>de nouvelle</w:t>
      </w:r>
      <w:r w:rsidR="005F3FCA">
        <w:t>s attitudes</w:t>
      </w:r>
      <w:r w:rsidR="00F653A9">
        <w:t xml:space="preserve"> </w:t>
      </w:r>
      <w:r w:rsidR="005F3FCA">
        <w:t xml:space="preserve">expérimentée sur place et sur le moment, </w:t>
      </w:r>
      <w:r w:rsidR="00F653A9">
        <w:t>oblige à sortir des modèles, des schémas et des processus institués ?</w:t>
      </w:r>
      <w:r w:rsidR="00D66539">
        <w:t xml:space="preserve"> </w:t>
      </w:r>
      <w:r w:rsidR="00A04F1D">
        <w:t>Voilà le</w:t>
      </w:r>
      <w:r w:rsidR="00D66539">
        <w:t xml:space="preserve"> challenge posé à l’université</w:t>
      </w:r>
      <w:r w:rsidR="005F3FCA">
        <w:t> : qu’elle sorte de ses gonds et affro</w:t>
      </w:r>
      <w:r w:rsidR="00A87B56">
        <w:t>nte l’anthropocène, la redoutable</w:t>
      </w:r>
      <w:r w:rsidR="005F3FCA">
        <w:t xml:space="preserve"> figuration de notre époque. </w:t>
      </w:r>
    </w:p>
    <w:p w14:paraId="55C69EE2" w14:textId="77777777" w:rsidR="00C52AF6" w:rsidRDefault="005F3FCA" w:rsidP="0092098F">
      <w:pPr>
        <w:ind w:firstLine="284"/>
      </w:pPr>
      <w:r>
        <w:t xml:space="preserve">Alors, sans hiérarchie ou ordre d’importance : </w:t>
      </w:r>
      <w:r w:rsidR="003E4FBA" w:rsidRPr="002727F9">
        <w:rPr>
          <w:i/>
        </w:rPr>
        <w:t>un</w:t>
      </w:r>
      <w:r w:rsidR="003E4FBA">
        <w:t xml:space="preserve">, </w:t>
      </w:r>
      <w:r>
        <w:t xml:space="preserve">qu’elle </w:t>
      </w:r>
      <w:r w:rsidR="003F2482">
        <w:t xml:space="preserve">fasse son propre bilan-carbone, </w:t>
      </w:r>
      <w:r w:rsidR="003F2482" w:rsidRPr="00800124">
        <w:rPr>
          <w:i/>
        </w:rPr>
        <w:t>i.e.</w:t>
      </w:r>
      <w:r w:rsidR="003F2482">
        <w:t xml:space="preserve"> qu’elle </w:t>
      </w:r>
      <w:r>
        <w:t xml:space="preserve">interroge </w:t>
      </w:r>
      <w:r w:rsidR="0063069C">
        <w:t xml:space="preserve">véritablement </w:t>
      </w:r>
      <w:r>
        <w:t>l</w:t>
      </w:r>
      <w:r w:rsidR="00F653A9">
        <w:t>e c</w:t>
      </w:r>
      <w:r w:rsidR="006626D2">
        <w:t>oût écologique de son fonction</w:t>
      </w:r>
      <w:r w:rsidR="00F653A9">
        <w:t>nement et de c</w:t>
      </w:r>
      <w:r w:rsidR="006626D2">
        <w:t>e</w:t>
      </w:r>
      <w:r w:rsidR="00F653A9">
        <w:t>lui de ses enseignants-cherc</w:t>
      </w:r>
      <w:r w:rsidR="006626D2">
        <w:t>h</w:t>
      </w:r>
      <w:r w:rsidR="00F653A9">
        <w:t>eurs</w:t>
      </w:r>
      <w:r w:rsidR="0063069C">
        <w:t> : le coût de la recherche et de l’enseignement ; le coût d’une institution nommée COMUE</w:t>
      </w:r>
      <w:r w:rsidR="003F2482">
        <w:t>, le coût des grosses structures, le coût de la compétition permanente e</w:t>
      </w:r>
      <w:r w:rsidR="003E4FBA">
        <w:t xml:space="preserve">t de la course à l’excellence. </w:t>
      </w:r>
    </w:p>
    <w:p w14:paraId="490DCB29" w14:textId="77777777" w:rsidR="00C52AF6" w:rsidRDefault="003E4FBA" w:rsidP="0092098F">
      <w:pPr>
        <w:ind w:firstLine="284"/>
      </w:pPr>
      <w:r w:rsidRPr="002727F9">
        <w:rPr>
          <w:i/>
        </w:rPr>
        <w:t>Deux</w:t>
      </w:r>
      <w:r>
        <w:t>, q</w:t>
      </w:r>
      <w:r w:rsidR="003F2482">
        <w:t xml:space="preserve">u’elle se pose comme une instance de conscientisation : aujourd’hui encore, et paradoxalement, </w:t>
      </w:r>
      <w:r w:rsidR="0008596B">
        <w:t>comme j’en fais l’expérience cha</w:t>
      </w:r>
      <w:r w:rsidR="001F2084">
        <w:t xml:space="preserve">que année, sur une classe d’une trentaine d’étudiant.e.s, une bonne moitié ne connaît pas le mot « Anthropocène » ; or il importe de l’énoncer car cela consiste à le considérer dans sa valeur performative, </w:t>
      </w:r>
      <w:r w:rsidR="001F2084" w:rsidRPr="00800124">
        <w:rPr>
          <w:i/>
        </w:rPr>
        <w:t>i.e.</w:t>
      </w:r>
      <w:r w:rsidR="001F2084">
        <w:t xml:space="preserve"> comme ce qui est à même de commencer à </w:t>
      </w:r>
      <w:r w:rsidR="00B36836">
        <w:t xml:space="preserve">nommer et à </w:t>
      </w:r>
      <w:r w:rsidR="001F2084">
        <w:t>problématiser ce qui nous arrive</w:t>
      </w:r>
      <w:r w:rsidR="00B36836">
        <w:t xml:space="preserve">. </w:t>
      </w:r>
      <w:r w:rsidR="00C9577C">
        <w:t>A l’instar d’I</w:t>
      </w:r>
      <w:r w:rsidR="00B36836">
        <w:t xml:space="preserve">sabelle Stengers </w:t>
      </w:r>
      <w:r w:rsidR="00C9577C">
        <w:t>qui invite à nommer Ga</w:t>
      </w:r>
      <w:r>
        <w:t>ïa, nommer notre époque – et même si la désignation géologique n’est pas officielle</w:t>
      </w:r>
      <w:r w:rsidR="00A87B56">
        <w:t xml:space="preserve"> –</w:t>
      </w:r>
      <w:r>
        <w:t xml:space="preserve">, </w:t>
      </w:r>
      <w:r w:rsidR="00C9577C">
        <w:t>c’est « accepter de penser à partir de ce fait » et considérer que « nous n’avons pas le choix »</w:t>
      </w:r>
      <w:r w:rsidR="00C9577C">
        <w:rPr>
          <w:rStyle w:val="Marquenotebasdepage"/>
        </w:rPr>
        <w:footnoteReference w:id="16"/>
      </w:r>
      <w:r w:rsidR="00A87B56">
        <w:t>.</w:t>
      </w:r>
      <w:r w:rsidR="00C9577C">
        <w:t xml:space="preserve"> </w:t>
      </w:r>
      <w:r>
        <w:t>Gaïa ou l’Anthropocène ou le « nouveau régime climatique » sont des figurations qui désormais intéressent, au sens étymologique, notre rapport au monde : elle</w:t>
      </w:r>
      <w:r w:rsidR="00A87B56">
        <w:t>s</w:t>
      </w:r>
      <w:r>
        <w:t xml:space="preserve"> s’interposent entre nous et le monde. </w:t>
      </w:r>
    </w:p>
    <w:p w14:paraId="4342BDC9" w14:textId="7782DD98" w:rsidR="00C52AF6" w:rsidRDefault="003E4FBA" w:rsidP="0092098F">
      <w:pPr>
        <w:ind w:firstLine="284"/>
      </w:pPr>
      <w:r w:rsidRPr="002727F9">
        <w:rPr>
          <w:i/>
        </w:rPr>
        <w:t>Trois</w:t>
      </w:r>
      <w:r>
        <w:t>, q</w:t>
      </w:r>
      <w:r w:rsidR="00C9577C">
        <w:t xml:space="preserve">u’elle se pose alors comme une instance de débats scientifiques et politiques, comme une arène </w:t>
      </w:r>
      <w:r w:rsidR="00302EBC">
        <w:t xml:space="preserve">expérimentale </w:t>
      </w:r>
      <w:r w:rsidR="00C9577C">
        <w:t>discursive où s’affronte</w:t>
      </w:r>
      <w:r>
        <w:t>nt</w:t>
      </w:r>
      <w:r w:rsidR="00C9577C">
        <w:t xml:space="preserve"> théori</w:t>
      </w:r>
      <w:r w:rsidR="00302EBC">
        <w:t xml:space="preserve">es et modèles civilisationnels </w:t>
      </w:r>
      <w:r w:rsidR="00EB2592">
        <w:t xml:space="preserve">sur fond d’instauration d’un régime agonistique </w:t>
      </w:r>
      <w:r w:rsidR="00302EBC">
        <w:t xml:space="preserve">et où s’invente des solutions </w:t>
      </w:r>
      <w:r>
        <w:t>en toute i</w:t>
      </w:r>
      <w:r w:rsidR="00EB2592">
        <w:t>ncertitude. L’anthropocène est une notion trop controversée et critiquée pour qu’il n’</w:t>
      </w:r>
      <w:r w:rsidR="008A5893">
        <w:t>en</w:t>
      </w:r>
      <w:r w:rsidR="00EB2592">
        <w:t xml:space="preserve"> soit pas fait état et pour que le</w:t>
      </w:r>
      <w:r w:rsidR="008A5893">
        <w:t>s</w:t>
      </w:r>
      <w:r w:rsidR="00EB2592">
        <w:t xml:space="preserve"> controverses ne constituent pas l</w:t>
      </w:r>
      <w:r w:rsidR="008A5893">
        <w:t>e nœud</w:t>
      </w:r>
      <w:r w:rsidR="00EB2592">
        <w:t xml:space="preserve"> par l</w:t>
      </w:r>
      <w:r w:rsidR="008A5893">
        <w:t>equel</w:t>
      </w:r>
      <w:r w:rsidR="00EB2592">
        <w:t xml:space="preserve"> </w:t>
      </w:r>
      <w:r w:rsidR="008A5893">
        <w:t>s’entend la question</w:t>
      </w:r>
      <w:r w:rsidR="00EB2592">
        <w:t xml:space="preserve"> climato-politique. </w:t>
      </w:r>
      <w:r w:rsidR="008A5893">
        <w:t xml:space="preserve">Les inventions et la capacité à changer de monde sont à cette condition-là : se placer « devant l’Anthropocène », comme faire </w:t>
      </w:r>
      <w:r w:rsidR="00F119F4">
        <w:t>« </w:t>
      </w:r>
      <w:r w:rsidR="008A5893">
        <w:t>face à Gaïa</w:t>
      </w:r>
      <w:r w:rsidR="00F119F4">
        <w:t> »</w:t>
      </w:r>
      <w:r w:rsidR="008A5893">
        <w:t xml:space="preserve">, c’est s’ouvrir aux possibles, à la possibilité d’une véritable transition – non celle qui </w:t>
      </w:r>
      <w:r w:rsidR="00A8446A">
        <w:t>mise sur la capacité</w:t>
      </w:r>
      <w:r w:rsidR="00C87CBF">
        <w:t xml:space="preserve"> </w:t>
      </w:r>
      <w:r w:rsidR="00A8446A">
        <w:t xml:space="preserve">d’adaptation de </w:t>
      </w:r>
      <w:r w:rsidR="00C87CBF">
        <w:t xml:space="preserve">nos institutions </w:t>
      </w:r>
      <w:r w:rsidR="00A8446A">
        <w:t xml:space="preserve">(en sorte que l’institution n’est pas remise en question) </w:t>
      </w:r>
      <w:r w:rsidR="00C87CBF">
        <w:t xml:space="preserve">mais celle qui assumera </w:t>
      </w:r>
      <w:r w:rsidR="00A8446A">
        <w:t xml:space="preserve">l’objectif de leur transformation </w:t>
      </w:r>
      <w:r w:rsidR="00EE02D4">
        <w:t xml:space="preserve">à partir </w:t>
      </w:r>
      <w:r w:rsidR="00A549D3">
        <w:t xml:space="preserve">et dans </w:t>
      </w:r>
      <w:r w:rsidR="00EE02D4">
        <w:t>de</w:t>
      </w:r>
      <w:r w:rsidR="00A8446A">
        <w:t xml:space="preserve"> la situation. </w:t>
      </w:r>
    </w:p>
    <w:p w14:paraId="7AD8B7BC" w14:textId="7277AFB8" w:rsidR="000C1D32" w:rsidRDefault="00A8446A" w:rsidP="0092098F">
      <w:pPr>
        <w:ind w:firstLine="284"/>
      </w:pPr>
      <w:r w:rsidRPr="002727F9">
        <w:rPr>
          <w:i/>
        </w:rPr>
        <w:t>Quatre</w:t>
      </w:r>
      <w:r>
        <w:t xml:space="preserve">, qu’elle promeuve un travail réflexif sur sa fonction </w:t>
      </w:r>
      <w:r w:rsidR="005E6A69">
        <w:t xml:space="preserve">de fabrique de la connaissance. Il se trouve que le « problème anthropocène » donne lieu à une intense activité </w:t>
      </w:r>
      <w:r w:rsidR="004078C7">
        <w:t>technico-</w:t>
      </w:r>
      <w:r w:rsidR="005E6A69">
        <w:t xml:space="preserve">scientifique qui </w:t>
      </w:r>
      <w:r w:rsidR="00F119F4">
        <w:t>connait</w:t>
      </w:r>
      <w:r w:rsidR="005E6A69">
        <w:t xml:space="preserve"> sa pleine expression </w:t>
      </w:r>
      <w:r w:rsidR="004078C7">
        <w:t>dans la géo-ingénierie</w:t>
      </w:r>
      <w:r w:rsidR="005E6A69">
        <w:t xml:space="preserve">, </w:t>
      </w:r>
      <w:r w:rsidR="004078C7">
        <w:t>soit l’explo</w:t>
      </w:r>
      <w:r w:rsidR="000F093A">
        <w:t xml:space="preserve">ration de solutions </w:t>
      </w:r>
      <w:r w:rsidR="0092098F">
        <w:t xml:space="preserve">extrêmes </w:t>
      </w:r>
      <w:r w:rsidR="00BD5018">
        <w:t xml:space="preserve">présentées comme étant </w:t>
      </w:r>
      <w:r w:rsidR="000F093A">
        <w:t xml:space="preserve">à la mesure </w:t>
      </w:r>
      <w:r w:rsidR="004078C7">
        <w:t xml:space="preserve">de l’ampleur du problème et </w:t>
      </w:r>
      <w:r w:rsidR="00BD5018">
        <w:t xml:space="preserve">que l’on peut considérer comme étant la mesure </w:t>
      </w:r>
      <w:r w:rsidR="004078C7">
        <w:t xml:space="preserve">de sa </w:t>
      </w:r>
      <w:r w:rsidR="00F119F4">
        <w:t>cause </w:t>
      </w:r>
      <w:r w:rsidR="004078C7">
        <w:t xml:space="preserve">: le « monde » responsable de la modification du système Terre </w:t>
      </w:r>
      <w:r w:rsidR="000F093A">
        <w:t xml:space="preserve">– </w:t>
      </w:r>
      <w:r w:rsidR="0092098F">
        <w:rPr>
          <w:i/>
        </w:rPr>
        <w:t>, i</w:t>
      </w:r>
      <w:r w:rsidR="000F093A" w:rsidRPr="00800124">
        <w:rPr>
          <w:i/>
        </w:rPr>
        <w:t>.e.</w:t>
      </w:r>
      <w:r w:rsidR="000F093A">
        <w:t xml:space="preserve"> le monde de l’Anthropocène – </w:t>
      </w:r>
      <w:r w:rsidR="004078C7">
        <w:t xml:space="preserve">y répond sans </w:t>
      </w:r>
      <w:r w:rsidR="000F093A">
        <w:t>envisager</w:t>
      </w:r>
      <w:r w:rsidR="004078C7">
        <w:t xml:space="preserve"> une seule seconde </w:t>
      </w:r>
      <w:r w:rsidR="0092098F">
        <w:t xml:space="preserve">de </w:t>
      </w:r>
      <w:r w:rsidR="004078C7">
        <w:t xml:space="preserve">changer </w:t>
      </w:r>
      <w:r w:rsidR="00BC2346">
        <w:t xml:space="preserve">de </w:t>
      </w:r>
      <w:r w:rsidR="0092098F">
        <w:t xml:space="preserve">modèle de développement ni </w:t>
      </w:r>
      <w:r w:rsidR="000F093A">
        <w:t>son</w:t>
      </w:r>
      <w:r w:rsidR="004078C7">
        <w:t xml:space="preserve"> logiciel épistémologique. </w:t>
      </w:r>
      <w:r w:rsidR="00655DDC">
        <w:t>À</w:t>
      </w:r>
      <w:r w:rsidR="000C1D32">
        <w:t xml:space="preserve"> part </w:t>
      </w:r>
      <w:r w:rsidR="00940F37">
        <w:t xml:space="preserve">les voix de </w:t>
      </w:r>
      <w:r w:rsidR="000C1D32">
        <w:t>quelques lance</w:t>
      </w:r>
      <w:r w:rsidR="0092098F">
        <w:t>ur</w:t>
      </w:r>
      <w:r w:rsidR="000F2DA1">
        <w:t>s</w:t>
      </w:r>
      <w:r w:rsidR="0092098F">
        <w:t xml:space="preserve"> </w:t>
      </w:r>
      <w:r w:rsidR="000F2DA1">
        <w:t>d’alerte</w:t>
      </w:r>
      <w:r w:rsidR="000C1D32">
        <w:t>s</w:t>
      </w:r>
      <w:r w:rsidR="000F2DA1">
        <w:t xml:space="preserve"> ahuris</w:t>
      </w:r>
      <w:r w:rsidR="000C1D32">
        <w:t>,</w:t>
      </w:r>
      <w:r w:rsidR="00BD5018">
        <w:t xml:space="preserve"> cette </w:t>
      </w:r>
      <w:r w:rsidR="0092098F">
        <w:t>recherche</w:t>
      </w:r>
      <w:r w:rsidR="00BD5018">
        <w:t xml:space="preserve"> prométhéenne largement financée</w:t>
      </w:r>
      <w:r w:rsidR="00BD5018">
        <w:rPr>
          <w:rStyle w:val="Marquenotebasdepage"/>
        </w:rPr>
        <w:footnoteReference w:id="17"/>
      </w:r>
      <w:r w:rsidR="000C1D32">
        <w:t xml:space="preserve"> se </w:t>
      </w:r>
      <w:r w:rsidR="000F2DA1">
        <w:t xml:space="preserve">produit </w:t>
      </w:r>
      <w:r w:rsidR="0092098F">
        <w:t>sans</w:t>
      </w:r>
      <w:r w:rsidR="000F2DA1">
        <w:t xml:space="preserve"> </w:t>
      </w:r>
      <w:r w:rsidR="0092098F">
        <w:t xml:space="preserve">tapage, là aussi sur l’air de « dormez braves gens… » et nous verrons bien quand se fera sentir le choc de l’effondrement. </w:t>
      </w:r>
      <w:r w:rsidR="000F2DA1">
        <w:t>Pour</w:t>
      </w:r>
      <w:r w:rsidR="000C1D32">
        <w:t xml:space="preserve"> autant</w:t>
      </w:r>
      <w:r w:rsidR="00940F37">
        <w:t xml:space="preserve">, en face, du côté certes </w:t>
      </w:r>
      <w:r w:rsidR="00655DDC">
        <w:t xml:space="preserve">davantage </w:t>
      </w:r>
      <w:r w:rsidR="00940F37">
        <w:t>des sciences humaines ou à partir d’elles</w:t>
      </w:r>
      <w:r w:rsidR="00655DDC">
        <w:t>,</w:t>
      </w:r>
      <w:r w:rsidR="00940F37">
        <w:t xml:space="preserve"> bruissent </w:t>
      </w:r>
      <w:r w:rsidR="00655DDC">
        <w:t xml:space="preserve">des réflexions qui interrogent notre ontologie </w:t>
      </w:r>
      <w:r w:rsidR="009417D7">
        <w:t>naturaliste</w:t>
      </w:r>
      <w:r w:rsidR="00655DDC">
        <w:t xml:space="preserve"> et prétendent ouvrir la porte aux épistémologies dominées, remettent en question le travail de sélection et l</w:t>
      </w:r>
      <w:r w:rsidR="0031555B">
        <w:t xml:space="preserve">a propension aux </w:t>
      </w:r>
      <w:r w:rsidR="00655DDC">
        <w:t xml:space="preserve">anathèmes de la science et propose d’accueillir en son sein une grande diversité des modes de connaissance. Que donc l’université </w:t>
      </w:r>
      <w:r w:rsidR="00B05DF2">
        <w:t>soutienne</w:t>
      </w:r>
      <w:r w:rsidR="00655DDC">
        <w:t xml:space="preserve"> une science ouverte à une </w:t>
      </w:r>
      <w:r w:rsidR="00B05DF2">
        <w:t>« </w:t>
      </w:r>
      <w:r w:rsidR="00655DDC">
        <w:t>écologie des savoirs</w:t>
      </w:r>
      <w:r w:rsidR="00B05DF2">
        <w:t> »</w:t>
      </w:r>
      <w:r w:rsidR="0060555A">
        <w:rPr>
          <w:rStyle w:val="Marquenotebasdepage"/>
        </w:rPr>
        <w:footnoteReference w:id="18"/>
      </w:r>
      <w:r w:rsidR="00655DDC">
        <w:t xml:space="preserve">. </w:t>
      </w:r>
    </w:p>
    <w:p w14:paraId="600E6980" w14:textId="7D10E47D" w:rsidR="00FA703B" w:rsidRDefault="00194117" w:rsidP="00385E54">
      <w:pPr>
        <w:ind w:firstLine="284"/>
      </w:pPr>
      <w:r w:rsidRPr="00194117">
        <w:rPr>
          <w:i/>
        </w:rPr>
        <w:t>Cinq</w:t>
      </w:r>
      <w:r>
        <w:t xml:space="preserve">, </w:t>
      </w:r>
      <w:r w:rsidR="00C52AF6">
        <w:t xml:space="preserve">qu’elle </w:t>
      </w:r>
      <w:r w:rsidR="00A549D3">
        <w:t>interroge</w:t>
      </w:r>
      <w:r w:rsidR="002A0219">
        <w:t xml:space="preserve"> </w:t>
      </w:r>
      <w:r w:rsidR="00A549D3">
        <w:t>la voie</w:t>
      </w:r>
      <w:r w:rsidR="002A0219">
        <w:t xml:space="preserve"> </w:t>
      </w:r>
      <w:r w:rsidR="00106863">
        <w:t>technico-</w:t>
      </w:r>
      <w:r w:rsidR="00063386">
        <w:t>économiciste</w:t>
      </w:r>
      <w:r w:rsidR="007F01A6">
        <w:t xml:space="preserve"> </w:t>
      </w:r>
      <w:r w:rsidR="002A0219">
        <w:t xml:space="preserve">dans laquelle elle s’est </w:t>
      </w:r>
      <w:r w:rsidR="007F01A6">
        <w:t>engouffrée</w:t>
      </w:r>
      <w:r w:rsidR="00A549D3">
        <w:t>, au risque de l’impasse</w:t>
      </w:r>
      <w:r w:rsidR="002A0219">
        <w:t xml:space="preserve">. </w:t>
      </w:r>
      <w:r w:rsidR="00F119F4">
        <w:t xml:space="preserve">Il est sans doute plus facile de ne rien changer et de faire confiance à nos institutions telles que nous les connaissons, aux modèles de développement que nous pensons éprouvés </w:t>
      </w:r>
      <w:r w:rsidR="0060555A">
        <w:t xml:space="preserve">– </w:t>
      </w:r>
      <w:r w:rsidR="00F119F4">
        <w:t>et donc au capitalisme</w:t>
      </w:r>
      <w:r w:rsidR="0060555A">
        <w:rPr>
          <w:rStyle w:val="Marquenotebasdepage"/>
        </w:rPr>
        <w:footnoteReference w:id="19"/>
      </w:r>
      <w:r w:rsidR="0060555A">
        <w:t>. C’est la force d’inertie du problème – contre laquelle nous devons lutter</w:t>
      </w:r>
      <w:r w:rsidR="000819B4">
        <w:t xml:space="preserve"> car il ne laisse pas de place aux alternatives</w:t>
      </w:r>
      <w:r w:rsidR="0060555A">
        <w:t xml:space="preserve">. </w:t>
      </w:r>
      <w:r w:rsidR="000819B4">
        <w:t>TINA</w:t>
      </w:r>
      <w:r w:rsidR="00B15E0F">
        <w:rPr>
          <w:rStyle w:val="Marquenotebasdepage"/>
        </w:rPr>
        <w:footnoteReference w:id="20"/>
      </w:r>
      <w:r w:rsidR="000819B4">
        <w:t xml:space="preserve"> est la meilleure alliée de Gaïa. </w:t>
      </w:r>
      <w:r w:rsidR="0060555A">
        <w:t xml:space="preserve">Affronter l’Anthropocène </w:t>
      </w:r>
      <w:r w:rsidR="00FF0A06">
        <w:t>nécessite de s</w:t>
      </w:r>
      <w:r w:rsidR="00B05DF2">
        <w:t>o</w:t>
      </w:r>
      <w:r w:rsidR="00D01D22">
        <w:t>rtir du régime de compétitivité, toutes disciplines confondues,</w:t>
      </w:r>
      <w:r w:rsidR="00FF0A06">
        <w:t xml:space="preserve"> qui s’est transposé sans surprise de </w:t>
      </w:r>
      <w:r w:rsidR="00B15E0F">
        <w:t>l’économie au monde académique,</w:t>
      </w:r>
      <w:r w:rsidR="00FF0A06">
        <w:t xml:space="preserve"> la célébration de l’excellence y prédispos</w:t>
      </w:r>
      <w:r w:rsidR="00B15E0F">
        <w:t>ant</w:t>
      </w:r>
      <w:r w:rsidR="00FF0A06">
        <w:t xml:space="preserve">. </w:t>
      </w:r>
      <w:r w:rsidR="00A549D3">
        <w:t xml:space="preserve">Faut-il </w:t>
      </w:r>
      <w:r w:rsidR="00385E54">
        <w:t xml:space="preserve">nécessairement </w:t>
      </w:r>
      <w:r w:rsidR="00A549D3">
        <w:t xml:space="preserve">sacrifier </w:t>
      </w:r>
      <w:r w:rsidR="00855041">
        <w:t>à la success story</w:t>
      </w:r>
      <w:r w:rsidR="00A549D3">
        <w:t xml:space="preserve"> de l’université </w:t>
      </w:r>
      <w:r w:rsidR="00855041">
        <w:t>en</w:t>
      </w:r>
      <w:r w:rsidR="00A549D3">
        <w:t xml:space="preserve"> v</w:t>
      </w:r>
      <w:r w:rsidR="007F01A6">
        <w:t>ivier d’étudiant</w:t>
      </w:r>
      <w:r w:rsidR="00385E54">
        <w:t>·e·</w:t>
      </w:r>
      <w:r w:rsidR="007F01A6">
        <w:t>s mobiles</w:t>
      </w:r>
      <w:r w:rsidR="00855041">
        <w:t>, entreprenant</w:t>
      </w:r>
      <w:r w:rsidR="00385E54">
        <w:t>·e·</w:t>
      </w:r>
      <w:r w:rsidR="00855041">
        <w:t xml:space="preserve">s </w:t>
      </w:r>
      <w:r w:rsidR="00A549D3">
        <w:t>et hyperconnecté</w:t>
      </w:r>
      <w:r w:rsidR="00385E54">
        <w:t>·e·</w:t>
      </w:r>
      <w:r w:rsidR="00A549D3">
        <w:t>s</w:t>
      </w:r>
      <w:r w:rsidR="00385E54">
        <w:t>,</w:t>
      </w:r>
      <w:r w:rsidR="00A549D3">
        <w:t xml:space="preserve"> lancé</w:t>
      </w:r>
      <w:r w:rsidR="00385E54">
        <w:t>·e·</w:t>
      </w:r>
      <w:r w:rsidR="00A549D3">
        <w:t>s sur le</w:t>
      </w:r>
      <w:r w:rsidR="007F01A6">
        <w:t xml:space="preserve"> marché impitoyable </w:t>
      </w:r>
      <w:r w:rsidR="00385E54">
        <w:t xml:space="preserve">mais grisant </w:t>
      </w:r>
      <w:r w:rsidR="007F01A6">
        <w:t>des cerveaux, des idées</w:t>
      </w:r>
      <w:r w:rsidR="00385E54">
        <w:t xml:space="preserve"> et</w:t>
      </w:r>
      <w:r w:rsidR="00063386">
        <w:t xml:space="preserve"> des innovations</w:t>
      </w:r>
      <w:r w:rsidR="00855041">
        <w:t>, en</w:t>
      </w:r>
      <w:r w:rsidR="00A549D3">
        <w:t xml:space="preserve"> terre offerte aux </w:t>
      </w:r>
      <w:r w:rsidR="00106863">
        <w:t xml:space="preserve">hubs, aux </w:t>
      </w:r>
      <w:r w:rsidR="00A549D3">
        <w:t>s</w:t>
      </w:r>
      <w:r w:rsidR="00855041">
        <w:t>t</w:t>
      </w:r>
      <w:r w:rsidR="00BA0FB4">
        <w:t>art</w:t>
      </w:r>
      <w:r w:rsidR="00A549D3">
        <w:t>up</w:t>
      </w:r>
      <w:r w:rsidR="00BA0FB4">
        <w:t>s</w:t>
      </w:r>
      <w:r w:rsidR="00855041">
        <w:t xml:space="preserve"> </w:t>
      </w:r>
      <w:r w:rsidR="00A549D3">
        <w:t xml:space="preserve">et </w:t>
      </w:r>
      <w:r w:rsidR="00106863">
        <w:t xml:space="preserve">au Medef, en avant-poste </w:t>
      </w:r>
      <w:r w:rsidR="00385E54">
        <w:t>de la cybersociété ? P</w:t>
      </w:r>
      <w:r w:rsidR="00FF0A06">
        <w:t xml:space="preserve">our la guerre que nous avons à mener, qui n’est pas une guerre économique, ni une guerre des </w:t>
      </w:r>
      <w:r w:rsidR="00245A88">
        <w:t xml:space="preserve">sciences, ni des scientifiques – </w:t>
      </w:r>
      <w:r w:rsidR="00245A88" w:rsidRPr="00800124">
        <w:rPr>
          <w:i/>
        </w:rPr>
        <w:t>i.e.</w:t>
      </w:r>
      <w:r w:rsidR="00245A88">
        <w:t xml:space="preserve"> </w:t>
      </w:r>
      <w:r w:rsidR="00FF0A06">
        <w:t>de chacun contre tous</w:t>
      </w:r>
      <w:r w:rsidR="00245A88">
        <w:t xml:space="preserve"> –</w:t>
      </w:r>
      <w:r w:rsidR="00FF0A06">
        <w:t xml:space="preserve">, </w:t>
      </w:r>
      <w:r w:rsidR="009417D7">
        <w:t xml:space="preserve">mais </w:t>
      </w:r>
      <w:r w:rsidR="009417D7" w:rsidRPr="008D6BF0">
        <w:t xml:space="preserve">une guerre </w:t>
      </w:r>
      <w:r w:rsidR="008D6BF0" w:rsidRPr="008D6BF0">
        <w:t xml:space="preserve">pour la vie et </w:t>
      </w:r>
      <w:r w:rsidR="009417D7" w:rsidRPr="008D6BF0">
        <w:t>contre un modèle de développement mortifère,</w:t>
      </w:r>
      <w:r w:rsidR="009417D7">
        <w:t xml:space="preserve"> </w:t>
      </w:r>
      <w:r w:rsidR="00FF0A06">
        <w:t>n</w:t>
      </w:r>
      <w:r w:rsidR="000819B4">
        <w:t>ous n’avons pas besoin d’être les meilleurs</w:t>
      </w:r>
      <w:r w:rsidR="00FF0A06">
        <w:t xml:space="preserve"> contre les autres</w:t>
      </w:r>
      <w:r w:rsidR="000819B4">
        <w:t xml:space="preserve">, nous avons besoin d’être vivants, réactifs, engagés, concernés pour penser </w:t>
      </w:r>
      <w:r w:rsidR="00FF0A06">
        <w:t xml:space="preserve">tous </w:t>
      </w:r>
      <w:r w:rsidR="000819B4">
        <w:t>ensemble</w:t>
      </w:r>
      <w:r w:rsidR="00245A88">
        <w:t>, et sans craindre les dissensus,</w:t>
      </w:r>
      <w:r w:rsidR="000819B4">
        <w:t xml:space="preserve"> les réponses au problème</w:t>
      </w:r>
      <w:r w:rsidR="00245A88">
        <w:t xml:space="preserve">. </w:t>
      </w:r>
    </w:p>
    <w:p w14:paraId="5159136D" w14:textId="648D5AE4" w:rsidR="00AD0149" w:rsidRDefault="005374CA" w:rsidP="00FA703B">
      <w:pPr>
        <w:ind w:firstLine="284"/>
      </w:pPr>
      <w:r>
        <w:t>La période électorale qui s’</w:t>
      </w:r>
      <w:r w:rsidR="00B15E0F">
        <w:t xml:space="preserve">est ouverte </w:t>
      </w:r>
      <w:r>
        <w:t>pour nos deux universités, bourguignonne et franc</w:t>
      </w:r>
      <w:r w:rsidR="00196094">
        <w:t>-comtoise</w:t>
      </w:r>
      <w:r w:rsidR="00B15E0F">
        <w:t>,</w:t>
      </w:r>
      <w:r w:rsidR="00196094">
        <w:t xml:space="preserve"> </w:t>
      </w:r>
      <w:r w:rsidR="00B15E0F">
        <w:t>serait-elle</w:t>
      </w:r>
      <w:r w:rsidR="00196094">
        <w:t xml:space="preserve"> propice à </w:t>
      </w:r>
      <w:r w:rsidR="00B36BAC">
        <w:t>sortir des chemins balisés. Voici plusieurs années que nous assistons au ressassement des mêmes interrogations quand à leur avenir : COMUE, fédération ou fusion ? Collège universitaire ou université de plein exercice ? Comment garder sa place dans les classement</w:t>
      </w:r>
      <w:r w:rsidR="009417D7">
        <w:t xml:space="preserve">s internationaux ?, etc., etc. </w:t>
      </w:r>
      <w:r w:rsidR="00B36BAC">
        <w:t>Chacun a son idée et ses convict</w:t>
      </w:r>
      <w:r w:rsidR="002C537B">
        <w:t>ions</w:t>
      </w:r>
      <w:r w:rsidR="002C4A58">
        <w:t xml:space="preserve"> quant </w:t>
      </w:r>
      <w:r w:rsidR="00120564">
        <w:t xml:space="preserve">à </w:t>
      </w:r>
      <w:r w:rsidR="002C4A58">
        <w:t>l’université idéale</w:t>
      </w:r>
      <w:r w:rsidR="002C537B">
        <w:t xml:space="preserve">, des listes se constituent, </w:t>
      </w:r>
      <w:r w:rsidR="00FC544D">
        <w:t xml:space="preserve">des candidatures se déclarent et </w:t>
      </w:r>
      <w:r w:rsidR="002C537B">
        <w:t>des professions de foi s’</w:t>
      </w:r>
      <w:r w:rsidR="00385E54">
        <w:t xml:space="preserve">écrivent la main sur le cœur en </w:t>
      </w:r>
      <w:r w:rsidR="002C537B">
        <w:t xml:space="preserve">appelant à nos </w:t>
      </w:r>
      <w:r w:rsidR="00120564">
        <w:t xml:space="preserve">chères et chers </w:t>
      </w:r>
      <w:r w:rsidR="002C537B">
        <w:t>étudiant</w:t>
      </w:r>
      <w:r w:rsidR="00120564">
        <w:t>·e·</w:t>
      </w:r>
      <w:r w:rsidR="002C537B">
        <w:t xml:space="preserve">s, </w:t>
      </w:r>
      <w:r w:rsidR="002C4A58">
        <w:t xml:space="preserve">à nos </w:t>
      </w:r>
      <w:r w:rsidR="00120564">
        <w:t>chère</w:t>
      </w:r>
      <w:r w:rsidR="00FC544D">
        <w:t>s</w:t>
      </w:r>
      <w:r w:rsidR="00120564">
        <w:t xml:space="preserve"> et chers collègues</w:t>
      </w:r>
      <w:r w:rsidR="002C4A58">
        <w:t xml:space="preserve"> et au</w:t>
      </w:r>
      <w:r w:rsidR="00603ECC">
        <w:t>x</w:t>
      </w:r>
      <w:r w:rsidR="002C4A58">
        <w:t xml:space="preserve"> dieux de Shanghai. </w:t>
      </w:r>
      <w:r w:rsidR="008D6BF0">
        <w:t>Ici</w:t>
      </w:r>
      <w:r w:rsidR="00006DC6">
        <w:t>,</w:t>
      </w:r>
      <w:r w:rsidR="008D6BF0">
        <w:t xml:space="preserve"> o</w:t>
      </w:r>
      <w:r w:rsidR="00603ECC">
        <w:t xml:space="preserve">n </w:t>
      </w:r>
      <w:r w:rsidR="008D6BF0">
        <w:t>nous annonce sans rire la nécessité pour l’université « de placer l’humain au cœur</w:t>
      </w:r>
      <w:r w:rsidR="00006DC6">
        <w:t xml:space="preserve"> de son projet » ;</w:t>
      </w:r>
      <w:r w:rsidR="008D6BF0">
        <w:t xml:space="preserve"> là</w:t>
      </w:r>
      <w:r w:rsidR="00006DC6">
        <w:t>, on</w:t>
      </w:r>
      <w:r w:rsidR="008D6BF0">
        <w:t xml:space="preserve"> </w:t>
      </w:r>
      <w:r w:rsidR="00006DC6">
        <w:t>nous promet « une université où</w:t>
      </w:r>
      <w:r w:rsidR="00603ECC">
        <w:t xml:space="preserve"> il fait bon vivre, étudier et travailler » – quelle</w:t>
      </w:r>
      <w:r w:rsidR="00006DC6">
        <w:t>s</w:t>
      </w:r>
      <w:r w:rsidR="00603ECC">
        <w:t xml:space="preserve"> trouvaille</w:t>
      </w:r>
      <w:r w:rsidR="00006DC6">
        <w:t>s</w:t>
      </w:r>
      <w:r w:rsidR="00603ECC">
        <w:t xml:space="preserve">, se douterait-on qu’il faut avoir fait dix ans d’études </w:t>
      </w:r>
      <w:r w:rsidR="004944C8">
        <w:t xml:space="preserve">supérieures </w:t>
      </w:r>
      <w:r w:rsidR="00603ECC">
        <w:t xml:space="preserve">et deux fois plus de recherche </w:t>
      </w:r>
      <w:r w:rsidR="004944C8">
        <w:t xml:space="preserve">scientifique </w:t>
      </w:r>
      <w:r w:rsidR="00603ECC">
        <w:t>pour énoncer pareille</w:t>
      </w:r>
      <w:r w:rsidR="00006DC6">
        <w:t>s</w:t>
      </w:r>
      <w:r w:rsidR="00603ECC">
        <w:t xml:space="preserve"> banalité</w:t>
      </w:r>
      <w:r w:rsidR="00006DC6">
        <w:t>s</w:t>
      </w:r>
      <w:r w:rsidR="00603ECC">
        <w:t xml:space="preserve"> ! </w:t>
      </w:r>
      <w:r w:rsidR="002C4A58">
        <w:t xml:space="preserve">Mais </w:t>
      </w:r>
      <w:r w:rsidR="00FC544D">
        <w:t xml:space="preserve">trouve-t-on dans les projets présentés </w:t>
      </w:r>
      <w:r w:rsidR="00BC2346">
        <w:t xml:space="preserve">ne serait-ce qu’une allusion </w:t>
      </w:r>
      <w:r w:rsidR="0065748C">
        <w:t xml:space="preserve">à notre problème et </w:t>
      </w:r>
      <w:r w:rsidR="00BC2346">
        <w:t>a</w:t>
      </w:r>
      <w:r w:rsidR="002C4A58">
        <w:t xml:space="preserve">u futur qui </w:t>
      </w:r>
      <w:r w:rsidR="00FC544D">
        <w:t xml:space="preserve">nous et les </w:t>
      </w:r>
      <w:r w:rsidR="0065748C">
        <w:t xml:space="preserve">– </w:t>
      </w:r>
      <w:r w:rsidR="0065748C" w:rsidRPr="0065748C">
        <w:rPr>
          <w:i/>
        </w:rPr>
        <w:t>nos</w:t>
      </w:r>
      <w:r w:rsidR="0065748C">
        <w:t xml:space="preserve"> étudiant·e·s – </w:t>
      </w:r>
      <w:r w:rsidR="00FC544D">
        <w:t>attend ?</w:t>
      </w:r>
      <w:r w:rsidR="002C4A58">
        <w:t xml:space="preserve"> </w:t>
      </w:r>
      <w:r w:rsidR="00FC544D">
        <w:t>Tout au plus</w:t>
      </w:r>
      <w:r w:rsidR="00A326DC">
        <w:t>,</w:t>
      </w:r>
      <w:r w:rsidR="00FC544D">
        <w:t xml:space="preserve"> </w:t>
      </w:r>
      <w:r w:rsidR="00A326DC">
        <w:t xml:space="preserve">ici, </w:t>
      </w:r>
      <w:r w:rsidR="00FC544D">
        <w:t xml:space="preserve">une rapide allégeance au mantra éculé du </w:t>
      </w:r>
      <w:r w:rsidR="00AD0149">
        <w:t>« </w:t>
      </w:r>
      <w:r w:rsidR="00FC544D">
        <w:t>développement durable</w:t>
      </w:r>
      <w:r w:rsidR="00AD0149">
        <w:t> »</w:t>
      </w:r>
      <w:r w:rsidR="00FA703B">
        <w:t xml:space="preserve"> – comment peut-on raisonnablement s’en recommander au vu de </w:t>
      </w:r>
      <w:r w:rsidR="00A34CDD">
        <w:t>trente</w:t>
      </w:r>
      <w:r w:rsidR="00FA703B">
        <w:t xml:space="preserve"> ans d’immobilisme et d’aggravation de la situation sous son égide ! –</w:t>
      </w:r>
      <w:r w:rsidR="00FC544D">
        <w:t xml:space="preserve">, doublé d’un </w:t>
      </w:r>
      <w:r w:rsidR="00FA703B">
        <w:t xml:space="preserve">intrépide </w:t>
      </w:r>
      <w:r w:rsidR="00FC544D">
        <w:t>appel à « la responsabilité sociétale »</w:t>
      </w:r>
      <w:r w:rsidR="00A326DC">
        <w:rPr>
          <w:rStyle w:val="Marquenotebasdepage"/>
        </w:rPr>
        <w:footnoteReference w:id="21"/>
      </w:r>
      <w:r w:rsidR="00A326DC">
        <w:t xml:space="preserve">, ou bien, là, </w:t>
      </w:r>
      <w:r w:rsidR="0065748C">
        <w:t xml:space="preserve">le vœux </w:t>
      </w:r>
      <w:r w:rsidR="00DD7CFC">
        <w:t>formulé d’</w:t>
      </w:r>
      <w:r w:rsidR="00AD0149">
        <w:t>une université « éco-citoyenne et solidaire » ou encore « respectueuse de l’environnement ». J’ai beau les tourner et retourner, je n’arrive pas à saisir le sens concret de ces formules phatiques qui ou bien cachent un vide sidéral d</w:t>
      </w:r>
      <w:r w:rsidR="00EF6C88">
        <w:t>’analyse</w:t>
      </w:r>
      <w:r w:rsidR="00AD0149">
        <w:t xml:space="preserve"> ou bien fonctionnent comme saupoudrage – une pincée de </w:t>
      </w:r>
      <w:r w:rsidR="00C07D24">
        <w:t xml:space="preserve">mots </w:t>
      </w:r>
      <w:r w:rsidR="00AD0149">
        <w:t>vert</w:t>
      </w:r>
      <w:r w:rsidR="00C07D24">
        <w:t>s (tiens, il manque « transition écologique » !)</w:t>
      </w:r>
      <w:r w:rsidR="00AD0149">
        <w:t xml:space="preserve"> pour s’en débarrasser – ou bien les deux. </w:t>
      </w:r>
    </w:p>
    <w:p w14:paraId="53C67278" w14:textId="04DAC273" w:rsidR="000819B4" w:rsidRDefault="00385E54" w:rsidP="00FC544D">
      <w:pPr>
        <w:ind w:firstLine="284"/>
      </w:pPr>
      <w:r>
        <w:t>S</w:t>
      </w:r>
      <w:r w:rsidR="002C4A58">
        <w:t xml:space="preserve">i une autre université est possible, elle se construira dans la voie étroite que lui laisse </w:t>
      </w:r>
      <w:r w:rsidR="00C22A62">
        <w:t xml:space="preserve">le problème Anthropocène. Qu’il soit là est tellement dramatique pour les générations déjà nées et à venir que son absence des programmes électoraux </w:t>
      </w:r>
      <w:r w:rsidR="00C07D24">
        <w:t>devient</w:t>
      </w:r>
      <w:r w:rsidR="00C22A62">
        <w:t xml:space="preserve"> criminel</w:t>
      </w:r>
      <w:r w:rsidR="00BC2346">
        <w:t>le</w:t>
      </w:r>
      <w:r w:rsidR="00C22A62">
        <w:t xml:space="preserve">. Voici </w:t>
      </w:r>
      <w:r w:rsidR="00507465">
        <w:t xml:space="preserve">donc </w:t>
      </w:r>
      <w:r w:rsidR="00C22A62">
        <w:t xml:space="preserve">la question </w:t>
      </w:r>
      <w:r>
        <w:t xml:space="preserve">que nous devons nous poser </w:t>
      </w:r>
      <w:r w:rsidR="00EF6C88">
        <w:t xml:space="preserve">et </w:t>
      </w:r>
      <w:r w:rsidR="00C22A62">
        <w:t xml:space="preserve">poser aux candidats : </w:t>
      </w:r>
      <w:r>
        <w:t xml:space="preserve">sommes-nous, </w:t>
      </w:r>
      <w:r w:rsidR="00BC2346">
        <w:t>êtes</w:t>
      </w:r>
      <w:r w:rsidR="00C22A62">
        <w:t>-vous à la hauteur du problème ?</w:t>
      </w:r>
    </w:p>
    <w:p w14:paraId="4A79AB08" w14:textId="77777777" w:rsidR="00C22A62" w:rsidRDefault="00C22A62" w:rsidP="00FF0A06">
      <w:pPr>
        <w:ind w:firstLine="284"/>
      </w:pPr>
    </w:p>
    <w:p w14:paraId="7DE68334" w14:textId="1166A424" w:rsidR="00264BA7" w:rsidRDefault="00264BA7" w:rsidP="004C5414">
      <w:pPr>
        <w:ind w:firstLine="284"/>
      </w:pPr>
    </w:p>
    <w:p w14:paraId="43452FD3" w14:textId="22C23E53" w:rsidR="00C22A62" w:rsidRDefault="00C22A62" w:rsidP="00146BE1">
      <w:pPr>
        <w:jc w:val="right"/>
      </w:pPr>
      <w:r>
        <w:t>Jean-Louis Tornatore</w:t>
      </w:r>
    </w:p>
    <w:p w14:paraId="10DDA85C" w14:textId="77777777" w:rsidR="00146BE1" w:rsidRDefault="00146BE1" w:rsidP="00146BE1">
      <w:pPr>
        <w:jc w:val="right"/>
      </w:pPr>
    </w:p>
    <w:p w14:paraId="2B956616" w14:textId="77777777" w:rsidR="00146BE1" w:rsidRDefault="00146BE1" w:rsidP="00146BE1"/>
    <w:p w14:paraId="4BEAAEE8" w14:textId="77777777" w:rsidR="00113FB3" w:rsidRDefault="00113FB3" w:rsidP="00146BE1"/>
    <w:p w14:paraId="342B28BC" w14:textId="53D7BC26" w:rsidR="00A13B03" w:rsidRDefault="00A34CDD" w:rsidP="00146BE1">
      <w:r w:rsidRPr="00113FB3">
        <w:rPr>
          <w:b/>
        </w:rPr>
        <w:t>Post-scriptum</w:t>
      </w:r>
      <w:r>
        <w:t xml:space="preserve">. Nous </w:t>
      </w:r>
      <w:r w:rsidR="00113FB3">
        <w:t>ne sommes pas seuls ! Des universitaires toulousains représentant une grande variété de disciplines (des dures et des moins dures) ont créé en 2018 l’Atelier d’écologie politique (</w:t>
      </w:r>
      <w:hyperlink r:id="rId7" w:history="1">
        <w:r w:rsidR="00113FB3" w:rsidRPr="009072EB">
          <w:rPr>
            <w:rStyle w:val="Lienhypertexte"/>
          </w:rPr>
          <w:t>https://atecopol.hypotheses.org/</w:t>
        </w:r>
      </w:hyperlink>
      <w:r w:rsidR="00113FB3">
        <w:t>) qui vise à</w:t>
      </w:r>
      <w:r w:rsidR="00113FB3">
        <w:rPr>
          <w:rFonts w:eastAsia="Times New Roman"/>
        </w:rPr>
        <w:t xml:space="preserve"> construire « une communauté pluridisciplinaire de scientifiques travaillant ou réfléchissant aux multiples aspects liés aux bouleversements écologiques ». Un</w:t>
      </w:r>
      <w:r w:rsidR="00F30E2A">
        <w:rPr>
          <w:rFonts w:eastAsia="Times New Roman"/>
        </w:rPr>
        <w:t>e</w:t>
      </w:r>
      <w:r w:rsidR="00113FB3">
        <w:rPr>
          <w:rFonts w:eastAsia="Times New Roman"/>
        </w:rPr>
        <w:t xml:space="preserve"> </w:t>
      </w:r>
      <w:r w:rsidR="00321D6D">
        <w:rPr>
          <w:rFonts w:eastAsia="Times New Roman"/>
        </w:rPr>
        <w:t xml:space="preserve">belle </w:t>
      </w:r>
      <w:r w:rsidR="00F30E2A">
        <w:rPr>
          <w:rFonts w:eastAsia="Times New Roman"/>
        </w:rPr>
        <w:t>initiative</w:t>
      </w:r>
      <w:r w:rsidR="00321D6D">
        <w:rPr>
          <w:rFonts w:eastAsia="Times New Roman"/>
        </w:rPr>
        <w:t xml:space="preserve"> à suivre…</w:t>
      </w:r>
    </w:p>
    <w:p w14:paraId="76AFF7D3" w14:textId="77777777" w:rsidR="00A34CDD" w:rsidRDefault="00A34CDD" w:rsidP="00146BE1"/>
    <w:p w14:paraId="3977BD5C" w14:textId="77777777" w:rsidR="00113FB3" w:rsidRDefault="00113FB3" w:rsidP="00146BE1"/>
    <w:p w14:paraId="41A845AB" w14:textId="77777777" w:rsidR="00113FB3" w:rsidRDefault="00113FB3" w:rsidP="00146BE1"/>
    <w:p w14:paraId="2290795C" w14:textId="20C7C9CC" w:rsidR="00146BE1" w:rsidRPr="00146BE1" w:rsidRDefault="00146BE1" w:rsidP="00146BE1">
      <w:pPr>
        <w:rPr>
          <w:i/>
        </w:rPr>
      </w:pPr>
      <w:r w:rsidRPr="00146BE1">
        <w:rPr>
          <w:i/>
        </w:rPr>
        <w:t xml:space="preserve">Jean-Louis Tornatore est </w:t>
      </w:r>
      <w:bookmarkStart w:id="0" w:name="_GoBack"/>
      <w:bookmarkEnd w:id="0"/>
      <w:r w:rsidRPr="00146BE1">
        <w:rPr>
          <w:i/>
        </w:rPr>
        <w:t>anthropologue et professeur à l’université de Bourgogne.</w:t>
      </w:r>
    </w:p>
    <w:sectPr w:rsidR="00146BE1" w:rsidRPr="00146BE1" w:rsidSect="00BB647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4C56B" w14:textId="77777777" w:rsidR="00D01D22" w:rsidRDefault="00D01D22" w:rsidP="004336C5">
      <w:r>
        <w:separator/>
      </w:r>
    </w:p>
  </w:endnote>
  <w:endnote w:type="continuationSeparator" w:id="0">
    <w:p w14:paraId="28A9A510" w14:textId="77777777" w:rsidR="00D01D22" w:rsidRDefault="00D01D22" w:rsidP="0043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aramond">
    <w:altName w:val="Garamond"/>
    <w:panose1 w:val="02020404030301010803"/>
    <w:charset w:val="00"/>
    <w:family w:val="auto"/>
    <w:pitch w:val="variable"/>
    <w:sig w:usb0="00000003" w:usb1="00000000" w:usb2="00000000" w:usb3="00000000" w:csb0="00000001" w:csb1="00000000"/>
  </w:font>
  <w:font w:name="Lucida Grande">
    <w:altName w:val="LuzSans-Book"/>
    <w:panose1 w:val="020B0600040502020204"/>
    <w:charset w:val="00"/>
    <w:family w:val="auto"/>
    <w:pitch w:val="variable"/>
    <w:sig w:usb0="E1000AEF" w:usb1="5000A1FF" w:usb2="00000000" w:usb3="00000000" w:csb0="000001BF" w:csb1="00000000"/>
  </w:font>
  <w:font w:name="êH◊Vˇ">
    <w:altName w:val="Calibri"/>
    <w:panose1 w:val="00000000000000000000"/>
    <w:charset w:val="4D"/>
    <w:family w:val="auto"/>
    <w:notTrueType/>
    <w:pitch w:val="default"/>
    <w:sig w:usb0="00000003" w:usb1="00000000" w:usb2="00000000" w:usb3="00000000" w:csb0="00000001" w:csb1="00000000"/>
  </w:font>
  <w:font w:name="ÎXˇ">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7771E" w14:textId="77777777" w:rsidR="00D01D22" w:rsidRDefault="00D01D22" w:rsidP="00BD00D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A49F196" w14:textId="77777777" w:rsidR="00D01D22" w:rsidRDefault="00D01D2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1A293" w14:textId="77777777" w:rsidR="00D01D22" w:rsidRDefault="00D01D22" w:rsidP="00BD00D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21D6D">
      <w:rPr>
        <w:rStyle w:val="Numrodepage"/>
        <w:noProof/>
      </w:rPr>
      <w:t>1</w:t>
    </w:r>
    <w:r>
      <w:rPr>
        <w:rStyle w:val="Numrodepage"/>
      </w:rPr>
      <w:fldChar w:fldCharType="end"/>
    </w:r>
  </w:p>
  <w:p w14:paraId="5BECF362" w14:textId="77777777" w:rsidR="00D01D22" w:rsidRDefault="00D01D2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80AE5" w14:textId="77777777" w:rsidR="00D01D22" w:rsidRDefault="00D01D22" w:rsidP="004336C5">
      <w:r>
        <w:separator/>
      </w:r>
    </w:p>
  </w:footnote>
  <w:footnote w:type="continuationSeparator" w:id="0">
    <w:p w14:paraId="60FD1442" w14:textId="77777777" w:rsidR="00D01D22" w:rsidRDefault="00D01D22" w:rsidP="004336C5">
      <w:r>
        <w:continuationSeparator/>
      </w:r>
    </w:p>
  </w:footnote>
  <w:footnote w:id="1">
    <w:p w14:paraId="194A1F8B" w14:textId="7A6FFE97" w:rsidR="00D01D22" w:rsidRDefault="00D01D22">
      <w:pPr>
        <w:pStyle w:val="Notedebasdepage"/>
      </w:pPr>
      <w:r>
        <w:rPr>
          <w:rStyle w:val="Marquenotebasdepage"/>
        </w:rPr>
        <w:footnoteRef/>
      </w:r>
      <w:r>
        <w:t xml:space="preserve"> Manifestation des jeunes pour le climat, Dijon, 15 mars 2019.</w:t>
      </w:r>
    </w:p>
  </w:footnote>
  <w:footnote w:id="2">
    <w:p w14:paraId="12248A2B" w14:textId="6F54D5E7" w:rsidR="00D01D22" w:rsidRPr="003B04F1" w:rsidRDefault="00D01D22" w:rsidP="003B04F1">
      <w:pPr>
        <w:autoSpaceDE w:val="0"/>
        <w:autoSpaceDN w:val="0"/>
        <w:adjustRightInd w:val="0"/>
        <w:jc w:val="left"/>
        <w:rPr>
          <w:rFonts w:eastAsiaTheme="minorEastAsia" w:cs="êH◊Vˇ"/>
          <w:sz w:val="18"/>
          <w:szCs w:val="18"/>
        </w:rPr>
      </w:pPr>
      <w:r w:rsidRPr="003B04F1">
        <w:rPr>
          <w:rStyle w:val="Marquenotebasdepage"/>
          <w:sz w:val="18"/>
          <w:szCs w:val="18"/>
        </w:rPr>
        <w:footnoteRef/>
      </w:r>
      <w:r>
        <w:t xml:space="preserve"> </w:t>
      </w:r>
      <w:r w:rsidRPr="003B04F1">
        <w:rPr>
          <w:sz w:val="18"/>
          <w:szCs w:val="18"/>
        </w:rPr>
        <w:t>« </w:t>
      </w:r>
      <w:r w:rsidRPr="003B04F1">
        <w:rPr>
          <w:rFonts w:eastAsiaTheme="minorEastAsia" w:cs="êH◊Vˇ"/>
          <w:sz w:val="18"/>
          <w:szCs w:val="18"/>
        </w:rPr>
        <w:t xml:space="preserve">Pour </w:t>
      </w:r>
      <w:r>
        <w:rPr>
          <w:rFonts w:eastAsiaTheme="minorEastAsia" w:cs="êH◊Vˇ"/>
          <w:sz w:val="18"/>
          <w:szCs w:val="18"/>
        </w:rPr>
        <w:t>"</w:t>
      </w:r>
      <w:r w:rsidRPr="003B04F1">
        <w:rPr>
          <w:rFonts w:eastAsiaTheme="minorEastAsia" w:cs="êH◊Vˇ"/>
          <w:sz w:val="18"/>
          <w:szCs w:val="18"/>
        </w:rPr>
        <w:t>sauver la planète</w:t>
      </w:r>
      <w:r>
        <w:rPr>
          <w:rFonts w:eastAsiaTheme="minorEastAsia" w:cs="êH◊Vˇ"/>
          <w:sz w:val="18"/>
          <w:szCs w:val="18"/>
        </w:rPr>
        <w:t>"</w:t>
      </w:r>
      <w:r w:rsidRPr="003B04F1">
        <w:rPr>
          <w:rFonts w:eastAsiaTheme="minorEastAsia" w:cs="êH◊Vˇ"/>
          <w:sz w:val="18"/>
          <w:szCs w:val="18"/>
        </w:rPr>
        <w:t>, ils et elles ont</w:t>
      </w:r>
      <w:r>
        <w:rPr>
          <w:rFonts w:eastAsiaTheme="minorEastAsia" w:cs="êH◊Vˇ"/>
          <w:sz w:val="18"/>
          <w:szCs w:val="18"/>
        </w:rPr>
        <w:t xml:space="preserve"> </w:t>
      </w:r>
      <w:r w:rsidRPr="003B04F1">
        <w:rPr>
          <w:rFonts w:eastAsiaTheme="minorEastAsia" w:cs="êH◊Vˇ"/>
          <w:sz w:val="18"/>
          <w:szCs w:val="18"/>
        </w:rPr>
        <w:t>choisi de ne pas avoir d’enfant</w:t>
      </w:r>
      <w:r>
        <w:rPr>
          <w:rFonts w:eastAsiaTheme="minorEastAsia" w:cs="êH◊Vˇ"/>
          <w:sz w:val="18"/>
          <w:szCs w:val="18"/>
        </w:rPr>
        <w:t xml:space="preserve"> », </w:t>
      </w:r>
      <w:r w:rsidRPr="003B04F1">
        <w:rPr>
          <w:rFonts w:eastAsiaTheme="minorEastAsia" w:cs="êH◊Vˇ"/>
          <w:i/>
          <w:sz w:val="18"/>
          <w:szCs w:val="18"/>
        </w:rPr>
        <w:t>Reporterre</w:t>
      </w:r>
      <w:r>
        <w:rPr>
          <w:rFonts w:eastAsiaTheme="minorEastAsia" w:cs="êH◊Vˇ"/>
          <w:sz w:val="18"/>
          <w:szCs w:val="18"/>
        </w:rPr>
        <w:t>, 28 juin 2019.</w:t>
      </w:r>
    </w:p>
  </w:footnote>
  <w:footnote w:id="3">
    <w:p w14:paraId="7412CAE3" w14:textId="70384D43" w:rsidR="00D01D22" w:rsidRDefault="00D01D22">
      <w:pPr>
        <w:pStyle w:val="Notedebasdepage"/>
      </w:pPr>
      <w:r>
        <w:rPr>
          <w:rStyle w:val="Marquenotebasdepage"/>
        </w:rPr>
        <w:footnoteRef/>
      </w:r>
      <w:r>
        <w:t xml:space="preserve"> « </w:t>
      </w:r>
      <w:r w:rsidRPr="003B04F1">
        <w:rPr>
          <w:bCs/>
          <w:kern w:val="36"/>
          <w:szCs w:val="18"/>
          <w:lang w:eastAsia="fr-FR"/>
        </w:rPr>
        <w:t xml:space="preserve">En Suède, la </w:t>
      </w:r>
      <w:r>
        <w:rPr>
          <w:bCs/>
          <w:kern w:val="36"/>
          <w:szCs w:val="18"/>
          <w:lang w:eastAsia="fr-FR"/>
        </w:rPr>
        <w:t>"</w:t>
      </w:r>
      <w:r w:rsidRPr="003B04F1">
        <w:rPr>
          <w:bCs/>
          <w:kern w:val="36"/>
          <w:szCs w:val="18"/>
          <w:lang w:eastAsia="fr-FR"/>
        </w:rPr>
        <w:t>honte de prendre l'avion</w:t>
      </w:r>
      <w:r>
        <w:rPr>
          <w:bCs/>
          <w:kern w:val="36"/>
          <w:szCs w:val="18"/>
          <w:lang w:eastAsia="fr-FR"/>
        </w:rPr>
        <w:t xml:space="preserve">" </w:t>
      </w:r>
      <w:r w:rsidRPr="003B04F1">
        <w:rPr>
          <w:bCs/>
          <w:kern w:val="36"/>
          <w:szCs w:val="18"/>
          <w:lang w:eastAsia="fr-FR"/>
        </w:rPr>
        <w:t>plombe déjà le trafic aérien</w:t>
      </w:r>
      <w:r>
        <w:rPr>
          <w:bCs/>
          <w:kern w:val="36"/>
          <w:szCs w:val="18"/>
          <w:lang w:eastAsia="fr-FR"/>
        </w:rPr>
        <w:t xml:space="preserve">, </w:t>
      </w:r>
      <w:r w:rsidRPr="003B04F1">
        <w:rPr>
          <w:bCs/>
          <w:i/>
          <w:kern w:val="36"/>
          <w:szCs w:val="18"/>
          <w:lang w:eastAsia="fr-FR"/>
        </w:rPr>
        <w:t>Les échos</w:t>
      </w:r>
      <w:r>
        <w:rPr>
          <w:bCs/>
          <w:kern w:val="36"/>
          <w:szCs w:val="18"/>
          <w:lang w:eastAsia="fr-FR"/>
        </w:rPr>
        <w:t>, 20 avril 2019.</w:t>
      </w:r>
    </w:p>
  </w:footnote>
  <w:footnote w:id="4">
    <w:p w14:paraId="311BB25F" w14:textId="272862F7" w:rsidR="00D01D22" w:rsidRDefault="00D01D22">
      <w:pPr>
        <w:pStyle w:val="Notedebasdepage"/>
      </w:pPr>
      <w:r>
        <w:rPr>
          <w:rStyle w:val="Marquenotebasdepage"/>
        </w:rPr>
        <w:footnoteRef/>
      </w:r>
      <w:r>
        <w:t xml:space="preserve"> </w:t>
      </w:r>
      <w:hyperlink r:id="rId1" w:history="1">
        <w:r w:rsidRPr="009072EB">
          <w:rPr>
            <w:rStyle w:val="Lienhypertexte"/>
          </w:rPr>
          <w:t>https://laffairedusiecle.net/</w:t>
        </w:r>
      </w:hyperlink>
    </w:p>
  </w:footnote>
  <w:footnote w:id="5">
    <w:p w14:paraId="1E468F19" w14:textId="3392FE22" w:rsidR="00D01D22" w:rsidRPr="00C22A62" w:rsidRDefault="00D01D22" w:rsidP="00C22A62">
      <w:pPr>
        <w:pStyle w:val="Notedebasdepage"/>
        <w:rPr>
          <w:rFonts w:eastAsiaTheme="minorEastAsia"/>
        </w:rPr>
      </w:pPr>
      <w:r>
        <w:rPr>
          <w:rStyle w:val="Marquenotebasdepage"/>
        </w:rPr>
        <w:footnoteRef/>
      </w:r>
      <w:r>
        <w:t xml:space="preserve"> « </w:t>
      </w:r>
      <w:r w:rsidRPr="00C22A62">
        <w:rPr>
          <w:rFonts w:eastAsiaTheme="minorEastAsia"/>
        </w:rPr>
        <w:t>Climat : la désobéissance de masse</w:t>
      </w:r>
      <w:r>
        <w:rPr>
          <w:rFonts w:eastAsiaTheme="minorEastAsia"/>
        </w:rPr>
        <w:t xml:space="preserve"> </w:t>
      </w:r>
      <w:r w:rsidRPr="00C22A62">
        <w:rPr>
          <w:rFonts w:eastAsiaTheme="minorEastAsia"/>
        </w:rPr>
        <w:t xml:space="preserve">arrive en </w:t>
      </w:r>
      <w:r>
        <w:rPr>
          <w:rFonts w:eastAsiaTheme="minorEastAsia"/>
        </w:rPr>
        <w:t xml:space="preserve">France », </w:t>
      </w:r>
      <w:r w:rsidRPr="003B04F1">
        <w:rPr>
          <w:rFonts w:eastAsiaTheme="minorEastAsia"/>
          <w:i/>
        </w:rPr>
        <w:t>Libération</w:t>
      </w:r>
      <w:r>
        <w:rPr>
          <w:rFonts w:eastAsiaTheme="minorEastAsia"/>
        </w:rPr>
        <w:t>, 29 juin 2019.</w:t>
      </w:r>
    </w:p>
  </w:footnote>
  <w:footnote w:id="6">
    <w:p w14:paraId="4DF0ABD0" w14:textId="22111262" w:rsidR="00D01D22" w:rsidRDefault="00D01D22">
      <w:pPr>
        <w:pStyle w:val="Notedebasdepage"/>
      </w:pPr>
      <w:r>
        <w:rPr>
          <w:rStyle w:val="Marquenotebasdepage"/>
        </w:rPr>
        <w:footnoteRef/>
      </w:r>
      <w:r>
        <w:t xml:space="preserve"> « En Australie, un air de fin du monde », </w:t>
      </w:r>
      <w:r w:rsidRPr="00545D1B">
        <w:rPr>
          <w:i/>
        </w:rPr>
        <w:t>Libération</w:t>
      </w:r>
      <w:r>
        <w:t xml:space="preserve">, 5 janvier 2020 ; « Australie : l’effondrement au bout du monde », </w:t>
      </w:r>
      <w:r w:rsidRPr="00B70A1F">
        <w:rPr>
          <w:i/>
        </w:rPr>
        <w:t>Mediapart</w:t>
      </w:r>
      <w:r>
        <w:t>, 8 janvier 2020.</w:t>
      </w:r>
    </w:p>
  </w:footnote>
  <w:footnote w:id="7">
    <w:p w14:paraId="31DBA578" w14:textId="08C5AB1C" w:rsidR="00D01D22" w:rsidRDefault="00D01D22">
      <w:pPr>
        <w:pStyle w:val="Notedebasdepage"/>
      </w:pPr>
      <w:r>
        <w:rPr>
          <w:rStyle w:val="Marquenotebasdepage"/>
        </w:rPr>
        <w:footnoteRef/>
      </w:r>
      <w:r>
        <w:t xml:space="preserve"> </w:t>
      </w:r>
      <w:r w:rsidRPr="00FC4396">
        <w:rPr>
          <w:i/>
        </w:rPr>
        <w:t>Reporterre</w:t>
      </w:r>
      <w:r>
        <w:t>, 25 septembre 2019.</w:t>
      </w:r>
    </w:p>
  </w:footnote>
  <w:footnote w:id="8">
    <w:p w14:paraId="7E99812A" w14:textId="5DDB502C" w:rsidR="00D01D22" w:rsidRDefault="00D01D22">
      <w:pPr>
        <w:pStyle w:val="Notedebasdepage"/>
      </w:pPr>
      <w:r>
        <w:rPr>
          <w:rStyle w:val="Marquenotebasdepage"/>
        </w:rPr>
        <w:footnoteRef/>
      </w:r>
      <w:r>
        <w:t xml:space="preserve"> </w:t>
      </w:r>
      <w:r w:rsidRPr="00524369">
        <w:rPr>
          <w:szCs w:val="18"/>
        </w:rPr>
        <w:t xml:space="preserve">Pablo </w:t>
      </w:r>
      <w:r w:rsidRPr="00524369">
        <w:rPr>
          <w:rStyle w:val="lev"/>
          <w:b w:val="0"/>
          <w:szCs w:val="18"/>
        </w:rPr>
        <w:t>Servigne</w:t>
      </w:r>
      <w:r w:rsidRPr="00524369">
        <w:rPr>
          <w:szCs w:val="18"/>
        </w:rPr>
        <w:t xml:space="preserve">, Raphaël </w:t>
      </w:r>
      <w:r w:rsidRPr="00524369">
        <w:rPr>
          <w:rStyle w:val="lev"/>
          <w:b w:val="0"/>
          <w:szCs w:val="18"/>
        </w:rPr>
        <w:t>Stevens</w:t>
      </w:r>
      <w:r w:rsidRPr="00524369">
        <w:rPr>
          <w:szCs w:val="18"/>
        </w:rPr>
        <w:t>,</w:t>
      </w:r>
      <w:r>
        <w:rPr>
          <w:szCs w:val="18"/>
        </w:rPr>
        <w:t xml:space="preserve"> </w:t>
      </w:r>
      <w:r w:rsidRPr="00524369">
        <w:rPr>
          <w:i/>
          <w:szCs w:val="18"/>
        </w:rPr>
        <w:t>Comment tout peut s’effondrer ?</w:t>
      </w:r>
      <w:r>
        <w:rPr>
          <w:i/>
          <w:szCs w:val="18"/>
        </w:rPr>
        <w:t xml:space="preserve"> Pe</w:t>
      </w:r>
      <w:r w:rsidRPr="00524369">
        <w:rPr>
          <w:i/>
          <w:szCs w:val="18"/>
        </w:rPr>
        <w:t>tit manuel de collapsologie à l’usage des générations présentes</w:t>
      </w:r>
      <w:r>
        <w:rPr>
          <w:szCs w:val="18"/>
        </w:rPr>
        <w:t xml:space="preserve">, Paris, Le Seuil, 2015. </w:t>
      </w:r>
    </w:p>
  </w:footnote>
  <w:footnote w:id="9">
    <w:p w14:paraId="7E4EBA23" w14:textId="70523C2D" w:rsidR="00D01D22" w:rsidRPr="00524369" w:rsidRDefault="00D01D22">
      <w:pPr>
        <w:pStyle w:val="Notedebasdepage"/>
      </w:pPr>
      <w:r>
        <w:rPr>
          <w:rStyle w:val="Marquenotebasdepage"/>
        </w:rPr>
        <w:footnoteRef/>
      </w:r>
      <w:r>
        <w:t xml:space="preserve"> Jean-Baptiste Fressoz, « La collapsologie : un discours réactionnaire ? », </w:t>
      </w:r>
      <w:r w:rsidRPr="00B70A1F">
        <w:rPr>
          <w:i/>
        </w:rPr>
        <w:t>Libération</w:t>
      </w:r>
      <w:r>
        <w:t>, 7 novembre 2018 ; François Thoreau et Bénédikte Zitouni, « Contre l’effondrement : agir pour des milieux vivaces »,</w:t>
      </w:r>
      <w:r w:rsidRPr="00524369">
        <w:t xml:space="preserve"> </w:t>
      </w:r>
      <w:r w:rsidRPr="00524369">
        <w:rPr>
          <w:rFonts w:eastAsiaTheme="minorEastAsia"/>
          <w:i/>
          <w:szCs w:val="18"/>
        </w:rPr>
        <w:t>lundimatin</w:t>
      </w:r>
      <w:r w:rsidRPr="00524369">
        <w:rPr>
          <w:rFonts w:eastAsiaTheme="minorEastAsia"/>
          <w:szCs w:val="18"/>
        </w:rPr>
        <w:t>#170</w:t>
      </w:r>
      <w:r>
        <w:rPr>
          <w:rFonts w:eastAsiaTheme="minorEastAsia"/>
          <w:szCs w:val="18"/>
        </w:rPr>
        <w:t>,</w:t>
      </w:r>
      <w:r w:rsidRPr="00524369">
        <w:rPr>
          <w:rFonts w:eastAsiaTheme="minorEastAsia"/>
          <w:szCs w:val="18"/>
        </w:rPr>
        <w:t xml:space="preserve"> le 17 décembre 2018</w:t>
      </w:r>
      <w:r>
        <w:rPr>
          <w:rFonts w:eastAsiaTheme="minorEastAsia"/>
          <w:szCs w:val="18"/>
        </w:rPr>
        <w:t xml:space="preserve"> </w:t>
      </w:r>
      <w:r w:rsidRPr="00524369">
        <w:rPr>
          <w:rFonts w:eastAsiaTheme="minorEastAsia"/>
          <w:szCs w:val="18"/>
        </w:rPr>
        <w:t>(</w:t>
      </w:r>
      <w:hyperlink r:id="rId2" w:history="1">
        <w:r w:rsidRPr="009072EB">
          <w:rPr>
            <w:rStyle w:val="Lienhypertexte"/>
            <w:rFonts w:eastAsiaTheme="minorEastAsia"/>
            <w:szCs w:val="18"/>
          </w:rPr>
          <w:t>https://lundi.am/Un-recit-hegemonique</w:t>
        </w:r>
      </w:hyperlink>
      <w:r w:rsidRPr="00524369">
        <w:rPr>
          <w:rFonts w:eastAsiaTheme="minorEastAsia"/>
          <w:szCs w:val="18"/>
        </w:rPr>
        <w:t>)</w:t>
      </w:r>
    </w:p>
  </w:footnote>
  <w:footnote w:id="10">
    <w:p w14:paraId="3F8327B5" w14:textId="25F0F7E4" w:rsidR="00D01D22" w:rsidRDefault="00D01D22">
      <w:pPr>
        <w:pStyle w:val="Notedebasdepage"/>
      </w:pPr>
      <w:r>
        <w:rPr>
          <w:rStyle w:val="Marquenotebasdepage"/>
        </w:rPr>
        <w:footnoteRef/>
      </w:r>
      <w:r>
        <w:t xml:space="preserve"> Voir l’introduction tout en nuances du dossier que la revue </w:t>
      </w:r>
      <w:r w:rsidRPr="00911E8E">
        <w:rPr>
          <w:i/>
        </w:rPr>
        <w:t>Multitudes</w:t>
      </w:r>
      <w:r>
        <w:t xml:space="preserve"> vient de consacrer à cette question : Laurence Allard, Alexandre Monnin et Cyprien Tasset, « Est-il trop tard pour l’effondrement », </w:t>
      </w:r>
      <w:r w:rsidRPr="00545D1B">
        <w:rPr>
          <w:i/>
        </w:rPr>
        <w:t>Multitudes</w:t>
      </w:r>
      <w:r>
        <w:t>, 2019/3, p. 53-67.</w:t>
      </w:r>
    </w:p>
  </w:footnote>
  <w:footnote w:id="11">
    <w:p w14:paraId="03794EA2" w14:textId="12316B19" w:rsidR="00D01D22" w:rsidRDefault="00D01D22">
      <w:pPr>
        <w:pStyle w:val="Notedebasdepage"/>
      </w:pPr>
      <w:r>
        <w:rPr>
          <w:rStyle w:val="Marquenotebasdepage"/>
        </w:rPr>
        <w:footnoteRef/>
      </w:r>
      <w:r>
        <w:t xml:space="preserve"> </w:t>
      </w:r>
      <w:r w:rsidRPr="00524369">
        <w:rPr>
          <w:szCs w:val="18"/>
        </w:rPr>
        <w:t xml:space="preserve">Pablo </w:t>
      </w:r>
      <w:r w:rsidRPr="00524369">
        <w:rPr>
          <w:rStyle w:val="lev"/>
          <w:b w:val="0"/>
          <w:szCs w:val="18"/>
        </w:rPr>
        <w:t>Servigne</w:t>
      </w:r>
      <w:r w:rsidRPr="00524369">
        <w:rPr>
          <w:szCs w:val="18"/>
        </w:rPr>
        <w:t xml:space="preserve">, Raphaël </w:t>
      </w:r>
      <w:r w:rsidRPr="00524369">
        <w:rPr>
          <w:rStyle w:val="lev"/>
          <w:b w:val="0"/>
          <w:szCs w:val="18"/>
        </w:rPr>
        <w:t>Stevens</w:t>
      </w:r>
      <w:r w:rsidRPr="00524369">
        <w:rPr>
          <w:szCs w:val="18"/>
        </w:rPr>
        <w:t xml:space="preserve">, Gauthier </w:t>
      </w:r>
      <w:r w:rsidRPr="00524369">
        <w:rPr>
          <w:rStyle w:val="lev"/>
          <w:b w:val="0"/>
          <w:szCs w:val="18"/>
        </w:rPr>
        <w:t>Chapelle</w:t>
      </w:r>
      <w:r w:rsidRPr="00524369">
        <w:rPr>
          <w:szCs w:val="18"/>
        </w:rPr>
        <w:t xml:space="preserve">, </w:t>
      </w:r>
      <w:r w:rsidRPr="00524369">
        <w:rPr>
          <w:rStyle w:val="Accentuation"/>
          <w:szCs w:val="18"/>
        </w:rPr>
        <w:t>Une autre fin du monde est possible. Vivre l’effondrement (et pas seulement y survivre)</w:t>
      </w:r>
      <w:r w:rsidRPr="00524369">
        <w:rPr>
          <w:szCs w:val="18"/>
        </w:rPr>
        <w:t>, Paris, Seuil, 2018.</w:t>
      </w:r>
    </w:p>
  </w:footnote>
  <w:footnote w:id="12">
    <w:p w14:paraId="476F6FD2" w14:textId="6CAEE278" w:rsidR="00D01D22" w:rsidRDefault="00D01D22">
      <w:pPr>
        <w:pStyle w:val="Notedebasdepage"/>
      </w:pPr>
      <w:r>
        <w:rPr>
          <w:rStyle w:val="Marquenotebasdepage"/>
        </w:rPr>
        <w:footnoteRef/>
      </w:r>
      <w:r>
        <w:t xml:space="preserve"> Concept créé par le philosophe de l’environnement australien Glenn Albrecht pour désigner </w:t>
      </w:r>
      <w:r w:rsidRPr="00EF6C88">
        <w:rPr>
          <w:rFonts w:eastAsiaTheme="minorEastAsia" w:cs="ÎXˇ"/>
          <w:szCs w:val="18"/>
        </w:rPr>
        <w:t>« le désarroi face au changement radical d’un environnement familier »</w:t>
      </w:r>
      <w:r>
        <w:rPr>
          <w:rFonts w:eastAsiaTheme="minorEastAsia" w:cs="ÎXˇ"/>
          <w:szCs w:val="18"/>
        </w:rPr>
        <w:t xml:space="preserve"> (</w:t>
      </w:r>
      <w:r w:rsidRPr="00EF6C88">
        <w:rPr>
          <w:rFonts w:eastAsiaTheme="minorEastAsia" w:cs="ÎXˇ"/>
          <w:i/>
          <w:szCs w:val="18"/>
        </w:rPr>
        <w:t>Reporterre</w:t>
      </w:r>
      <w:r>
        <w:rPr>
          <w:rFonts w:eastAsiaTheme="minorEastAsia" w:cs="ÎXˇ"/>
          <w:szCs w:val="18"/>
        </w:rPr>
        <w:t>, 7 janvier 2020)</w:t>
      </w:r>
    </w:p>
  </w:footnote>
  <w:footnote w:id="13">
    <w:p w14:paraId="29F2EAC5" w14:textId="4DDF4F66" w:rsidR="00D01D22" w:rsidRDefault="00D01D22">
      <w:pPr>
        <w:pStyle w:val="Notedebasdepage"/>
      </w:pPr>
      <w:r>
        <w:rPr>
          <w:rStyle w:val="Marquenotebasdepage"/>
        </w:rPr>
        <w:footnoteRef/>
      </w:r>
      <w:r>
        <w:t xml:space="preserve"> Bruno Latour, </w:t>
      </w:r>
      <w:r w:rsidRPr="00667FC8">
        <w:rPr>
          <w:i/>
        </w:rPr>
        <w:t>Face à Gaïa. Huit conférences sur le nouveau régime climatique</w:t>
      </w:r>
      <w:r>
        <w:t>, Paris, La Découverte, 2015.</w:t>
      </w:r>
    </w:p>
  </w:footnote>
  <w:footnote w:id="14">
    <w:p w14:paraId="198F16F2" w14:textId="60E8176F" w:rsidR="00D01D22" w:rsidRDefault="00D01D22">
      <w:pPr>
        <w:pStyle w:val="Notedebasdepage"/>
      </w:pPr>
      <w:r>
        <w:rPr>
          <w:rStyle w:val="Marquenotebasdepage"/>
        </w:rPr>
        <w:footnoteRef/>
      </w:r>
      <w:r>
        <w:t xml:space="preserve"> </w:t>
      </w:r>
      <w:r w:rsidRPr="00106227">
        <w:rPr>
          <w:i/>
        </w:rPr>
        <w:t>Dijon Métropole, Magazine d’information</w:t>
      </w:r>
      <w:r>
        <w:t>, été 219, n° 49.</w:t>
      </w:r>
    </w:p>
  </w:footnote>
  <w:footnote w:id="15">
    <w:p w14:paraId="04EB1A38" w14:textId="63B2128F" w:rsidR="00D01D22" w:rsidRDefault="00D01D22">
      <w:pPr>
        <w:pStyle w:val="Notedebasdepage"/>
      </w:pPr>
      <w:r>
        <w:rPr>
          <w:rStyle w:val="Marquenotebasdepage"/>
        </w:rPr>
        <w:footnoteRef/>
      </w:r>
      <w:r>
        <w:t xml:space="preserve"> Guillaume Faburel, </w:t>
      </w:r>
      <w:r w:rsidRPr="00106227">
        <w:rPr>
          <w:i/>
        </w:rPr>
        <w:t>Les métropoles barbares. Démondialiser la ville, désurbaniser la terre</w:t>
      </w:r>
      <w:r>
        <w:t>, Lyon, Le passager clandestin, 2018.</w:t>
      </w:r>
    </w:p>
  </w:footnote>
  <w:footnote w:id="16">
    <w:p w14:paraId="031D4D8A" w14:textId="7234CD74" w:rsidR="00D01D22" w:rsidRDefault="00D01D22">
      <w:pPr>
        <w:pStyle w:val="Notedebasdepage"/>
      </w:pPr>
      <w:r>
        <w:rPr>
          <w:rStyle w:val="Marquenotebasdepage"/>
        </w:rPr>
        <w:footnoteRef/>
      </w:r>
      <w:r>
        <w:t xml:space="preserve"> Isabelle Stengers, </w:t>
      </w:r>
      <w:r w:rsidRPr="00C9577C">
        <w:rPr>
          <w:i/>
        </w:rPr>
        <w:t>Au temps des catastrophes. Résister à la barbarie qui vient</w:t>
      </w:r>
      <w:r>
        <w:t>, Paris, La Découverte, 2009, p. 72.</w:t>
      </w:r>
    </w:p>
  </w:footnote>
  <w:footnote w:id="17">
    <w:p w14:paraId="6B0EDFB6" w14:textId="17F5266F" w:rsidR="00D01D22" w:rsidRDefault="00D01D22">
      <w:pPr>
        <w:pStyle w:val="Notedebasdepage"/>
      </w:pPr>
      <w:r>
        <w:rPr>
          <w:rStyle w:val="Marquenotebasdepage"/>
        </w:rPr>
        <w:footnoteRef/>
      </w:r>
      <w:r>
        <w:t xml:space="preserve"> Clive Hamilton, </w:t>
      </w:r>
      <w:r w:rsidRPr="00BD5018">
        <w:rPr>
          <w:i/>
        </w:rPr>
        <w:t>Les apprentis sorciers du climat. Raisons et déraisons de la géo-ingénierie</w:t>
      </w:r>
      <w:r>
        <w:t>, Paris Le Seuil, 2013.</w:t>
      </w:r>
    </w:p>
  </w:footnote>
  <w:footnote w:id="18">
    <w:p w14:paraId="5F239E86" w14:textId="3CEB8648" w:rsidR="00D01D22" w:rsidRDefault="00D01D22">
      <w:pPr>
        <w:pStyle w:val="Notedebasdepage"/>
      </w:pPr>
      <w:r>
        <w:rPr>
          <w:rStyle w:val="Marquenotebasdepage"/>
        </w:rPr>
        <w:footnoteRef/>
      </w:r>
      <w:r>
        <w:t xml:space="preserve"> Boaventura de Sousa Santos, </w:t>
      </w:r>
      <w:r w:rsidRPr="0060555A">
        <w:rPr>
          <w:i/>
        </w:rPr>
        <w:t>Épistémologies du Sud. Mouvements citoyens et polémique sur la science</w:t>
      </w:r>
      <w:r>
        <w:t>, Paris, Desclée de Brouwer, 2016.</w:t>
      </w:r>
    </w:p>
  </w:footnote>
  <w:footnote w:id="19">
    <w:p w14:paraId="0BAE790D" w14:textId="7DAB441E" w:rsidR="00D01D22" w:rsidRDefault="00D01D22">
      <w:pPr>
        <w:pStyle w:val="Notedebasdepage"/>
      </w:pPr>
      <w:r>
        <w:rPr>
          <w:rStyle w:val="Marquenotebasdepage"/>
        </w:rPr>
        <w:footnoteRef/>
      </w:r>
      <w:r>
        <w:t xml:space="preserve"> Isabelle Stengers, </w:t>
      </w:r>
      <w:r w:rsidRPr="0060555A">
        <w:rPr>
          <w:i/>
        </w:rPr>
        <w:t>Une autre science est possible. Manifeste pour un ralentissement des sciences</w:t>
      </w:r>
      <w:r>
        <w:t>, Paris, La Découverte, 2013, p. 118.</w:t>
      </w:r>
    </w:p>
  </w:footnote>
  <w:footnote w:id="20">
    <w:p w14:paraId="586FEB13" w14:textId="73DB3B78" w:rsidR="00D01D22" w:rsidRDefault="00D01D22">
      <w:pPr>
        <w:pStyle w:val="Notedebasdepage"/>
      </w:pPr>
      <w:r>
        <w:rPr>
          <w:rStyle w:val="Marquenotebasdepage"/>
        </w:rPr>
        <w:footnoteRef/>
      </w:r>
      <w:r>
        <w:t xml:space="preserve"> « There is no alternative », slogan attribué à M. Thatcher.</w:t>
      </w:r>
    </w:p>
  </w:footnote>
  <w:footnote w:id="21">
    <w:p w14:paraId="2ACE2E62" w14:textId="46FDE52F" w:rsidR="00D01D22" w:rsidRDefault="00D01D22">
      <w:pPr>
        <w:pStyle w:val="Notedebasdepage"/>
      </w:pPr>
      <w:r>
        <w:rPr>
          <w:rStyle w:val="Marquenotebasdepage"/>
        </w:rPr>
        <w:footnoteRef/>
      </w:r>
      <w:r>
        <w:t xml:space="preserve"> En fait un copié-collé de la tout aussi audacieuse tribune « en faveur du climat » des président·e·s des trois Conférences (universités, grandes écoles et écoles d’ingénieur ») représentant l’enseignement supérieur en France, publiée en juillet 19 : </w:t>
      </w:r>
      <w:hyperlink r:id="rId3" w:history="1">
        <w:r w:rsidRPr="00062028">
          <w:rPr>
            <w:rStyle w:val="Lienhypertexte"/>
          </w:rPr>
          <w:t>http://www.cdefi.fr/fr/actualites/tribune-des-trois-conferences-en-faveur-du-climat</w:t>
        </w:r>
      </w:hyperlink>
      <w:r>
        <w:t xml:space="preserve">. Voir, en guise d’antidote, la bienvenue réponse de l’Atelier d’écologie politique de Toulouse : « Engagement de l’enseignement supérieur et de la recherche "en faveur du climat", paru dans </w:t>
      </w:r>
      <w:r w:rsidRPr="00B70A1F">
        <w:rPr>
          <w:i/>
        </w:rPr>
        <w:t>Lundimatin#</w:t>
      </w:r>
      <w:r>
        <w:t xml:space="preserve">208 en septembre 2019 : </w:t>
      </w:r>
      <w:hyperlink r:id="rId4" w:history="1">
        <w:r w:rsidRPr="00062028">
          <w:rPr>
            <w:rStyle w:val="Lienhypertexte"/>
          </w:rPr>
          <w:t>https://lundi.am/Engagement-de-l-enseignement-superieur-et-la-recherche-en-faveur-du-climat</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28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59"/>
    <w:rsid w:val="00006DC6"/>
    <w:rsid w:val="00045E63"/>
    <w:rsid w:val="00063386"/>
    <w:rsid w:val="000813BC"/>
    <w:rsid w:val="000819B4"/>
    <w:rsid w:val="0008596B"/>
    <w:rsid w:val="000C1D32"/>
    <w:rsid w:val="000D2782"/>
    <w:rsid w:val="000F093A"/>
    <w:rsid w:val="000F2DA1"/>
    <w:rsid w:val="00106227"/>
    <w:rsid w:val="00106863"/>
    <w:rsid w:val="00112691"/>
    <w:rsid w:val="00113FB3"/>
    <w:rsid w:val="00120564"/>
    <w:rsid w:val="0014252C"/>
    <w:rsid w:val="0014360E"/>
    <w:rsid w:val="00146BE1"/>
    <w:rsid w:val="00157FB8"/>
    <w:rsid w:val="001854B6"/>
    <w:rsid w:val="00194117"/>
    <w:rsid w:val="00196094"/>
    <w:rsid w:val="001C27FD"/>
    <w:rsid w:val="001F2084"/>
    <w:rsid w:val="00200DA9"/>
    <w:rsid w:val="00245A88"/>
    <w:rsid w:val="002551AB"/>
    <w:rsid w:val="00264BA7"/>
    <w:rsid w:val="002727F9"/>
    <w:rsid w:val="002A0219"/>
    <w:rsid w:val="002C4A58"/>
    <w:rsid w:val="002C537B"/>
    <w:rsid w:val="002E54FA"/>
    <w:rsid w:val="002F7769"/>
    <w:rsid w:val="00302EBC"/>
    <w:rsid w:val="003075DF"/>
    <w:rsid w:val="0031555B"/>
    <w:rsid w:val="00317DA0"/>
    <w:rsid w:val="00321D6D"/>
    <w:rsid w:val="0032758D"/>
    <w:rsid w:val="00333ED4"/>
    <w:rsid w:val="003406F1"/>
    <w:rsid w:val="0037281F"/>
    <w:rsid w:val="00385E54"/>
    <w:rsid w:val="003B04F1"/>
    <w:rsid w:val="003E4FBA"/>
    <w:rsid w:val="003F2482"/>
    <w:rsid w:val="004078C7"/>
    <w:rsid w:val="004336C5"/>
    <w:rsid w:val="00485789"/>
    <w:rsid w:val="004906CD"/>
    <w:rsid w:val="004944C8"/>
    <w:rsid w:val="004A2DC3"/>
    <w:rsid w:val="004A33DB"/>
    <w:rsid w:val="004A6774"/>
    <w:rsid w:val="004C5414"/>
    <w:rsid w:val="00507465"/>
    <w:rsid w:val="0051232A"/>
    <w:rsid w:val="00515469"/>
    <w:rsid w:val="00524369"/>
    <w:rsid w:val="00530C5D"/>
    <w:rsid w:val="005374CA"/>
    <w:rsid w:val="00545D1B"/>
    <w:rsid w:val="005979BA"/>
    <w:rsid w:val="005D2F3A"/>
    <w:rsid w:val="005E6A69"/>
    <w:rsid w:val="005F31EF"/>
    <w:rsid w:val="005F3FCA"/>
    <w:rsid w:val="00603ECC"/>
    <w:rsid w:val="0060555A"/>
    <w:rsid w:val="00626433"/>
    <w:rsid w:val="006269C7"/>
    <w:rsid w:val="00626F28"/>
    <w:rsid w:val="0063069C"/>
    <w:rsid w:val="006532BC"/>
    <w:rsid w:val="00655DDC"/>
    <w:rsid w:val="0065628D"/>
    <w:rsid w:val="0065748C"/>
    <w:rsid w:val="006626D2"/>
    <w:rsid w:val="00663347"/>
    <w:rsid w:val="006649BC"/>
    <w:rsid w:val="00667FC8"/>
    <w:rsid w:val="006736E1"/>
    <w:rsid w:val="00682656"/>
    <w:rsid w:val="006A06D2"/>
    <w:rsid w:val="006A5F8D"/>
    <w:rsid w:val="00741C80"/>
    <w:rsid w:val="00747241"/>
    <w:rsid w:val="00775A25"/>
    <w:rsid w:val="00776D46"/>
    <w:rsid w:val="00793825"/>
    <w:rsid w:val="007A2C8E"/>
    <w:rsid w:val="007F01A6"/>
    <w:rsid w:val="008503DC"/>
    <w:rsid w:val="00855041"/>
    <w:rsid w:val="008553ED"/>
    <w:rsid w:val="008A2F72"/>
    <w:rsid w:val="008A5893"/>
    <w:rsid w:val="008C15E6"/>
    <w:rsid w:val="008D6BF0"/>
    <w:rsid w:val="008E5751"/>
    <w:rsid w:val="008F53E1"/>
    <w:rsid w:val="00903013"/>
    <w:rsid w:val="00911E8E"/>
    <w:rsid w:val="00915834"/>
    <w:rsid w:val="0092098F"/>
    <w:rsid w:val="00932BB8"/>
    <w:rsid w:val="00933C89"/>
    <w:rsid w:val="00940F37"/>
    <w:rsid w:val="009417D7"/>
    <w:rsid w:val="00965F24"/>
    <w:rsid w:val="009777B5"/>
    <w:rsid w:val="00994528"/>
    <w:rsid w:val="00A04F1D"/>
    <w:rsid w:val="00A06EDE"/>
    <w:rsid w:val="00A13B03"/>
    <w:rsid w:val="00A149C3"/>
    <w:rsid w:val="00A20B70"/>
    <w:rsid w:val="00A326DC"/>
    <w:rsid w:val="00A34CDD"/>
    <w:rsid w:val="00A549D3"/>
    <w:rsid w:val="00A65013"/>
    <w:rsid w:val="00A65F63"/>
    <w:rsid w:val="00A7409F"/>
    <w:rsid w:val="00A76D8D"/>
    <w:rsid w:val="00A8446A"/>
    <w:rsid w:val="00A87B56"/>
    <w:rsid w:val="00A9321B"/>
    <w:rsid w:val="00AA1466"/>
    <w:rsid w:val="00AA3DD5"/>
    <w:rsid w:val="00AB6A55"/>
    <w:rsid w:val="00AD0149"/>
    <w:rsid w:val="00AE5440"/>
    <w:rsid w:val="00B05DF2"/>
    <w:rsid w:val="00B15E0F"/>
    <w:rsid w:val="00B31BAA"/>
    <w:rsid w:val="00B36836"/>
    <w:rsid w:val="00B36BAC"/>
    <w:rsid w:val="00B70A1F"/>
    <w:rsid w:val="00B8105D"/>
    <w:rsid w:val="00BA0FB4"/>
    <w:rsid w:val="00BB1734"/>
    <w:rsid w:val="00BB6470"/>
    <w:rsid w:val="00BC2346"/>
    <w:rsid w:val="00BD00D7"/>
    <w:rsid w:val="00BD5018"/>
    <w:rsid w:val="00BF26A7"/>
    <w:rsid w:val="00C07D24"/>
    <w:rsid w:val="00C14DF9"/>
    <w:rsid w:val="00C22A62"/>
    <w:rsid w:val="00C45FCC"/>
    <w:rsid w:val="00C52AF6"/>
    <w:rsid w:val="00C87CBF"/>
    <w:rsid w:val="00C9577C"/>
    <w:rsid w:val="00CB24F4"/>
    <w:rsid w:val="00CC3CD9"/>
    <w:rsid w:val="00CD7359"/>
    <w:rsid w:val="00CE654E"/>
    <w:rsid w:val="00D01D22"/>
    <w:rsid w:val="00D26E03"/>
    <w:rsid w:val="00D414EF"/>
    <w:rsid w:val="00D44D44"/>
    <w:rsid w:val="00D65410"/>
    <w:rsid w:val="00D66539"/>
    <w:rsid w:val="00D826B0"/>
    <w:rsid w:val="00DD7CFC"/>
    <w:rsid w:val="00DF697F"/>
    <w:rsid w:val="00E0788A"/>
    <w:rsid w:val="00E13E4D"/>
    <w:rsid w:val="00E14F77"/>
    <w:rsid w:val="00E712D7"/>
    <w:rsid w:val="00EB2592"/>
    <w:rsid w:val="00ED1B2A"/>
    <w:rsid w:val="00ED1E41"/>
    <w:rsid w:val="00EE02D4"/>
    <w:rsid w:val="00EE1D52"/>
    <w:rsid w:val="00EE58A2"/>
    <w:rsid w:val="00EE5A7E"/>
    <w:rsid w:val="00EF6C88"/>
    <w:rsid w:val="00F119F4"/>
    <w:rsid w:val="00F30E2A"/>
    <w:rsid w:val="00F375DA"/>
    <w:rsid w:val="00F44B3F"/>
    <w:rsid w:val="00F4779E"/>
    <w:rsid w:val="00F62404"/>
    <w:rsid w:val="00F63693"/>
    <w:rsid w:val="00F653A9"/>
    <w:rsid w:val="00FA703B"/>
    <w:rsid w:val="00FC4396"/>
    <w:rsid w:val="00FC544D"/>
    <w:rsid w:val="00FE0BAD"/>
    <w:rsid w:val="00FF0A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00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B31BAA"/>
    <w:pPr>
      <w:widowControl w:val="0"/>
      <w:jc w:val="both"/>
    </w:pPr>
    <w:rPr>
      <w:rFonts w:asciiTheme="majorHAnsi" w:eastAsia="Arial" w:hAnsiTheme="majorHAnsi" w:cs="Times New Roman"/>
      <w:sz w:val="22"/>
      <w:szCs w:val="20"/>
    </w:rPr>
  </w:style>
  <w:style w:type="paragraph" w:styleId="Titre1">
    <w:name w:val="heading 1"/>
    <w:basedOn w:val="Normal"/>
    <w:next w:val="Normal"/>
    <w:link w:val="Titre1Car"/>
    <w:uiPriority w:val="9"/>
    <w:qFormat/>
    <w:rsid w:val="00D65410"/>
    <w:pPr>
      <w:keepNext/>
      <w:keepLines/>
      <w:spacing w:before="480" w:after="840"/>
      <w:jc w:val="center"/>
      <w:outlineLvl w:val="0"/>
    </w:pPr>
    <w:rPr>
      <w:rFonts w:eastAsiaTheme="majorEastAsia" w:cstheme="majorBidi"/>
      <w:bCs/>
      <w:sz w:val="32"/>
      <w:szCs w:val="32"/>
    </w:rPr>
  </w:style>
  <w:style w:type="paragraph" w:styleId="Titre2">
    <w:name w:val="heading 2"/>
    <w:basedOn w:val="Normal"/>
    <w:next w:val="Normal"/>
    <w:link w:val="Titre2Car"/>
    <w:uiPriority w:val="9"/>
    <w:unhideWhenUsed/>
    <w:qFormat/>
    <w:rsid w:val="004906CD"/>
    <w:pPr>
      <w:keepNext/>
      <w:keepLines/>
      <w:spacing w:before="360" w:after="240"/>
      <w:outlineLvl w:val="1"/>
    </w:pPr>
    <w:rPr>
      <w:rFonts w:eastAsiaTheme="majorEastAsia" w:cstheme="maj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qFormat/>
    <w:rsid w:val="0037281F"/>
    <w:pPr>
      <w:tabs>
        <w:tab w:val="left" w:pos="284"/>
      </w:tabs>
      <w:suppressAutoHyphens/>
      <w:autoSpaceDE w:val="0"/>
      <w:ind w:left="284" w:hanging="284"/>
    </w:pPr>
    <w:rPr>
      <w:rFonts w:ascii="Calibri" w:eastAsia="Times New Roman" w:hAnsi="Calibri" w:cs="Garamond"/>
      <w:szCs w:val="23"/>
      <w:lang w:eastAsia="ar-SA"/>
    </w:rPr>
  </w:style>
  <w:style w:type="character" w:customStyle="1" w:styleId="Titre2Car">
    <w:name w:val="Titre 2 Car"/>
    <w:basedOn w:val="Policepardfaut"/>
    <w:link w:val="Titre2"/>
    <w:uiPriority w:val="9"/>
    <w:rsid w:val="004906CD"/>
    <w:rPr>
      <w:rFonts w:ascii="Arial" w:eastAsiaTheme="majorEastAsia" w:hAnsi="Arial" w:cstheme="majorBidi"/>
      <w:b/>
      <w:bCs/>
      <w:sz w:val="22"/>
      <w:szCs w:val="22"/>
    </w:rPr>
  </w:style>
  <w:style w:type="paragraph" w:styleId="Textedebulles">
    <w:name w:val="Balloon Text"/>
    <w:basedOn w:val="Normal"/>
    <w:link w:val="TextedebullesCar"/>
    <w:uiPriority w:val="99"/>
    <w:semiHidden/>
    <w:unhideWhenUsed/>
    <w:rsid w:val="0037281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7281F"/>
    <w:rPr>
      <w:rFonts w:ascii="Lucida Grande" w:hAnsi="Lucida Grande" w:cs="Lucida Grande"/>
      <w:sz w:val="18"/>
      <w:szCs w:val="18"/>
    </w:rPr>
  </w:style>
  <w:style w:type="character" w:customStyle="1" w:styleId="Titre1Car">
    <w:name w:val="Titre 1 Car"/>
    <w:basedOn w:val="Policepardfaut"/>
    <w:link w:val="Titre1"/>
    <w:uiPriority w:val="9"/>
    <w:rsid w:val="00D65410"/>
    <w:rPr>
      <w:rFonts w:asciiTheme="majorHAnsi" w:eastAsiaTheme="majorEastAsia" w:hAnsiTheme="majorHAnsi" w:cstheme="majorBidi"/>
      <w:bCs/>
      <w:sz w:val="32"/>
      <w:szCs w:val="32"/>
    </w:rPr>
  </w:style>
  <w:style w:type="paragraph" w:styleId="Notedebasdepage">
    <w:name w:val="footnote text"/>
    <w:basedOn w:val="Normal"/>
    <w:link w:val="NotedebasdepageCar"/>
    <w:rsid w:val="00AB6A55"/>
    <w:rPr>
      <w:rFonts w:eastAsia="Times New Roman"/>
      <w:sz w:val="18"/>
    </w:rPr>
  </w:style>
  <w:style w:type="character" w:customStyle="1" w:styleId="NotedebasdepageCar">
    <w:name w:val="Note de bas de page Car"/>
    <w:basedOn w:val="Policepardfaut"/>
    <w:link w:val="Notedebasdepage"/>
    <w:rsid w:val="00AB6A55"/>
    <w:rPr>
      <w:rFonts w:asciiTheme="majorHAnsi" w:eastAsia="Times New Roman" w:hAnsiTheme="majorHAnsi" w:cs="Times New Roman"/>
      <w:sz w:val="18"/>
      <w:szCs w:val="20"/>
    </w:rPr>
  </w:style>
  <w:style w:type="character" w:customStyle="1" w:styleId="progress-value">
    <w:name w:val="progress-value"/>
    <w:basedOn w:val="Policepardfaut"/>
    <w:rsid w:val="00E712D7"/>
  </w:style>
  <w:style w:type="character" w:styleId="Marquenotebasdepage">
    <w:name w:val="footnote reference"/>
    <w:basedOn w:val="Policepardfaut"/>
    <w:uiPriority w:val="99"/>
    <w:unhideWhenUsed/>
    <w:rsid w:val="004336C5"/>
    <w:rPr>
      <w:vertAlign w:val="superscript"/>
    </w:rPr>
  </w:style>
  <w:style w:type="paragraph" w:styleId="En-tte">
    <w:name w:val="header"/>
    <w:basedOn w:val="Normal"/>
    <w:link w:val="En-tteCar"/>
    <w:uiPriority w:val="99"/>
    <w:unhideWhenUsed/>
    <w:rsid w:val="00BD00D7"/>
    <w:pPr>
      <w:tabs>
        <w:tab w:val="center" w:pos="4536"/>
        <w:tab w:val="right" w:pos="9072"/>
      </w:tabs>
    </w:pPr>
  </w:style>
  <w:style w:type="character" w:customStyle="1" w:styleId="En-tteCar">
    <w:name w:val="En-tête Car"/>
    <w:basedOn w:val="Policepardfaut"/>
    <w:link w:val="En-tte"/>
    <w:uiPriority w:val="99"/>
    <w:rsid w:val="00BD00D7"/>
    <w:rPr>
      <w:rFonts w:asciiTheme="majorHAnsi" w:eastAsia="Arial" w:hAnsiTheme="majorHAnsi" w:cs="Times New Roman"/>
      <w:sz w:val="22"/>
      <w:szCs w:val="20"/>
    </w:rPr>
  </w:style>
  <w:style w:type="paragraph" w:styleId="Pieddepage">
    <w:name w:val="footer"/>
    <w:basedOn w:val="Normal"/>
    <w:link w:val="PieddepageCar"/>
    <w:uiPriority w:val="99"/>
    <w:unhideWhenUsed/>
    <w:rsid w:val="00BD00D7"/>
    <w:pPr>
      <w:tabs>
        <w:tab w:val="center" w:pos="4536"/>
        <w:tab w:val="right" w:pos="9072"/>
      </w:tabs>
    </w:pPr>
  </w:style>
  <w:style w:type="character" w:customStyle="1" w:styleId="PieddepageCar">
    <w:name w:val="Pied de page Car"/>
    <w:basedOn w:val="Policepardfaut"/>
    <w:link w:val="Pieddepage"/>
    <w:uiPriority w:val="99"/>
    <w:rsid w:val="00BD00D7"/>
    <w:rPr>
      <w:rFonts w:asciiTheme="majorHAnsi" w:eastAsia="Arial" w:hAnsiTheme="majorHAnsi" w:cs="Times New Roman"/>
      <w:sz w:val="22"/>
      <w:szCs w:val="20"/>
    </w:rPr>
  </w:style>
  <w:style w:type="character" w:styleId="Numrodepage">
    <w:name w:val="page number"/>
    <w:basedOn w:val="Policepardfaut"/>
    <w:uiPriority w:val="99"/>
    <w:semiHidden/>
    <w:unhideWhenUsed/>
    <w:rsid w:val="00BD00D7"/>
  </w:style>
  <w:style w:type="character" w:styleId="lev">
    <w:name w:val="Strong"/>
    <w:basedOn w:val="Policepardfaut"/>
    <w:uiPriority w:val="22"/>
    <w:qFormat/>
    <w:rsid w:val="00524369"/>
    <w:rPr>
      <w:b/>
      <w:bCs/>
    </w:rPr>
  </w:style>
  <w:style w:type="character" w:styleId="Accentuation">
    <w:name w:val="Emphasis"/>
    <w:basedOn w:val="Policepardfaut"/>
    <w:uiPriority w:val="20"/>
    <w:qFormat/>
    <w:rsid w:val="00524369"/>
    <w:rPr>
      <w:i/>
      <w:iCs/>
    </w:rPr>
  </w:style>
  <w:style w:type="character" w:styleId="Lienhypertexte">
    <w:name w:val="Hyperlink"/>
    <w:basedOn w:val="Policepardfaut"/>
    <w:uiPriority w:val="99"/>
    <w:unhideWhenUsed/>
    <w:rsid w:val="00A326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B31BAA"/>
    <w:pPr>
      <w:widowControl w:val="0"/>
      <w:jc w:val="both"/>
    </w:pPr>
    <w:rPr>
      <w:rFonts w:asciiTheme="majorHAnsi" w:eastAsia="Arial" w:hAnsiTheme="majorHAnsi" w:cs="Times New Roman"/>
      <w:sz w:val="22"/>
      <w:szCs w:val="20"/>
    </w:rPr>
  </w:style>
  <w:style w:type="paragraph" w:styleId="Titre1">
    <w:name w:val="heading 1"/>
    <w:basedOn w:val="Normal"/>
    <w:next w:val="Normal"/>
    <w:link w:val="Titre1Car"/>
    <w:uiPriority w:val="9"/>
    <w:qFormat/>
    <w:rsid w:val="00D65410"/>
    <w:pPr>
      <w:keepNext/>
      <w:keepLines/>
      <w:spacing w:before="480" w:after="840"/>
      <w:jc w:val="center"/>
      <w:outlineLvl w:val="0"/>
    </w:pPr>
    <w:rPr>
      <w:rFonts w:eastAsiaTheme="majorEastAsia" w:cstheme="majorBidi"/>
      <w:bCs/>
      <w:sz w:val="32"/>
      <w:szCs w:val="32"/>
    </w:rPr>
  </w:style>
  <w:style w:type="paragraph" w:styleId="Titre2">
    <w:name w:val="heading 2"/>
    <w:basedOn w:val="Normal"/>
    <w:next w:val="Normal"/>
    <w:link w:val="Titre2Car"/>
    <w:uiPriority w:val="9"/>
    <w:unhideWhenUsed/>
    <w:qFormat/>
    <w:rsid w:val="004906CD"/>
    <w:pPr>
      <w:keepNext/>
      <w:keepLines/>
      <w:spacing w:before="360" w:after="240"/>
      <w:outlineLvl w:val="1"/>
    </w:pPr>
    <w:rPr>
      <w:rFonts w:eastAsiaTheme="majorEastAsia" w:cstheme="maj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qFormat/>
    <w:rsid w:val="0037281F"/>
    <w:pPr>
      <w:tabs>
        <w:tab w:val="left" w:pos="284"/>
      </w:tabs>
      <w:suppressAutoHyphens/>
      <w:autoSpaceDE w:val="0"/>
      <w:ind w:left="284" w:hanging="284"/>
    </w:pPr>
    <w:rPr>
      <w:rFonts w:ascii="Calibri" w:eastAsia="Times New Roman" w:hAnsi="Calibri" w:cs="Garamond"/>
      <w:szCs w:val="23"/>
      <w:lang w:eastAsia="ar-SA"/>
    </w:rPr>
  </w:style>
  <w:style w:type="character" w:customStyle="1" w:styleId="Titre2Car">
    <w:name w:val="Titre 2 Car"/>
    <w:basedOn w:val="Policepardfaut"/>
    <w:link w:val="Titre2"/>
    <w:uiPriority w:val="9"/>
    <w:rsid w:val="004906CD"/>
    <w:rPr>
      <w:rFonts w:ascii="Arial" w:eastAsiaTheme="majorEastAsia" w:hAnsi="Arial" w:cstheme="majorBidi"/>
      <w:b/>
      <w:bCs/>
      <w:sz w:val="22"/>
      <w:szCs w:val="22"/>
    </w:rPr>
  </w:style>
  <w:style w:type="paragraph" w:styleId="Textedebulles">
    <w:name w:val="Balloon Text"/>
    <w:basedOn w:val="Normal"/>
    <w:link w:val="TextedebullesCar"/>
    <w:uiPriority w:val="99"/>
    <w:semiHidden/>
    <w:unhideWhenUsed/>
    <w:rsid w:val="0037281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7281F"/>
    <w:rPr>
      <w:rFonts w:ascii="Lucida Grande" w:hAnsi="Lucida Grande" w:cs="Lucida Grande"/>
      <w:sz w:val="18"/>
      <w:szCs w:val="18"/>
    </w:rPr>
  </w:style>
  <w:style w:type="character" w:customStyle="1" w:styleId="Titre1Car">
    <w:name w:val="Titre 1 Car"/>
    <w:basedOn w:val="Policepardfaut"/>
    <w:link w:val="Titre1"/>
    <w:uiPriority w:val="9"/>
    <w:rsid w:val="00D65410"/>
    <w:rPr>
      <w:rFonts w:asciiTheme="majorHAnsi" w:eastAsiaTheme="majorEastAsia" w:hAnsiTheme="majorHAnsi" w:cstheme="majorBidi"/>
      <w:bCs/>
      <w:sz w:val="32"/>
      <w:szCs w:val="32"/>
    </w:rPr>
  </w:style>
  <w:style w:type="paragraph" w:styleId="Notedebasdepage">
    <w:name w:val="footnote text"/>
    <w:basedOn w:val="Normal"/>
    <w:link w:val="NotedebasdepageCar"/>
    <w:rsid w:val="00AB6A55"/>
    <w:rPr>
      <w:rFonts w:eastAsia="Times New Roman"/>
      <w:sz w:val="18"/>
    </w:rPr>
  </w:style>
  <w:style w:type="character" w:customStyle="1" w:styleId="NotedebasdepageCar">
    <w:name w:val="Note de bas de page Car"/>
    <w:basedOn w:val="Policepardfaut"/>
    <w:link w:val="Notedebasdepage"/>
    <w:rsid w:val="00AB6A55"/>
    <w:rPr>
      <w:rFonts w:asciiTheme="majorHAnsi" w:eastAsia="Times New Roman" w:hAnsiTheme="majorHAnsi" w:cs="Times New Roman"/>
      <w:sz w:val="18"/>
      <w:szCs w:val="20"/>
    </w:rPr>
  </w:style>
  <w:style w:type="character" w:customStyle="1" w:styleId="progress-value">
    <w:name w:val="progress-value"/>
    <w:basedOn w:val="Policepardfaut"/>
    <w:rsid w:val="00E712D7"/>
  </w:style>
  <w:style w:type="character" w:styleId="Marquenotebasdepage">
    <w:name w:val="footnote reference"/>
    <w:basedOn w:val="Policepardfaut"/>
    <w:uiPriority w:val="99"/>
    <w:unhideWhenUsed/>
    <w:rsid w:val="004336C5"/>
    <w:rPr>
      <w:vertAlign w:val="superscript"/>
    </w:rPr>
  </w:style>
  <w:style w:type="paragraph" w:styleId="En-tte">
    <w:name w:val="header"/>
    <w:basedOn w:val="Normal"/>
    <w:link w:val="En-tteCar"/>
    <w:uiPriority w:val="99"/>
    <w:unhideWhenUsed/>
    <w:rsid w:val="00BD00D7"/>
    <w:pPr>
      <w:tabs>
        <w:tab w:val="center" w:pos="4536"/>
        <w:tab w:val="right" w:pos="9072"/>
      </w:tabs>
    </w:pPr>
  </w:style>
  <w:style w:type="character" w:customStyle="1" w:styleId="En-tteCar">
    <w:name w:val="En-tête Car"/>
    <w:basedOn w:val="Policepardfaut"/>
    <w:link w:val="En-tte"/>
    <w:uiPriority w:val="99"/>
    <w:rsid w:val="00BD00D7"/>
    <w:rPr>
      <w:rFonts w:asciiTheme="majorHAnsi" w:eastAsia="Arial" w:hAnsiTheme="majorHAnsi" w:cs="Times New Roman"/>
      <w:sz w:val="22"/>
      <w:szCs w:val="20"/>
    </w:rPr>
  </w:style>
  <w:style w:type="paragraph" w:styleId="Pieddepage">
    <w:name w:val="footer"/>
    <w:basedOn w:val="Normal"/>
    <w:link w:val="PieddepageCar"/>
    <w:uiPriority w:val="99"/>
    <w:unhideWhenUsed/>
    <w:rsid w:val="00BD00D7"/>
    <w:pPr>
      <w:tabs>
        <w:tab w:val="center" w:pos="4536"/>
        <w:tab w:val="right" w:pos="9072"/>
      </w:tabs>
    </w:pPr>
  </w:style>
  <w:style w:type="character" w:customStyle="1" w:styleId="PieddepageCar">
    <w:name w:val="Pied de page Car"/>
    <w:basedOn w:val="Policepardfaut"/>
    <w:link w:val="Pieddepage"/>
    <w:uiPriority w:val="99"/>
    <w:rsid w:val="00BD00D7"/>
    <w:rPr>
      <w:rFonts w:asciiTheme="majorHAnsi" w:eastAsia="Arial" w:hAnsiTheme="majorHAnsi" w:cs="Times New Roman"/>
      <w:sz w:val="22"/>
      <w:szCs w:val="20"/>
    </w:rPr>
  </w:style>
  <w:style w:type="character" w:styleId="Numrodepage">
    <w:name w:val="page number"/>
    <w:basedOn w:val="Policepardfaut"/>
    <w:uiPriority w:val="99"/>
    <w:semiHidden/>
    <w:unhideWhenUsed/>
    <w:rsid w:val="00BD00D7"/>
  </w:style>
  <w:style w:type="character" w:styleId="lev">
    <w:name w:val="Strong"/>
    <w:basedOn w:val="Policepardfaut"/>
    <w:uiPriority w:val="22"/>
    <w:qFormat/>
    <w:rsid w:val="00524369"/>
    <w:rPr>
      <w:b/>
      <w:bCs/>
    </w:rPr>
  </w:style>
  <w:style w:type="character" w:styleId="Accentuation">
    <w:name w:val="Emphasis"/>
    <w:basedOn w:val="Policepardfaut"/>
    <w:uiPriority w:val="20"/>
    <w:qFormat/>
    <w:rsid w:val="00524369"/>
    <w:rPr>
      <w:i/>
      <w:iCs/>
    </w:rPr>
  </w:style>
  <w:style w:type="character" w:styleId="Lienhypertexte">
    <w:name w:val="Hyperlink"/>
    <w:basedOn w:val="Policepardfaut"/>
    <w:uiPriority w:val="99"/>
    <w:unhideWhenUsed/>
    <w:rsid w:val="00A32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tecopol.hypotheses.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cdefi.fr/fr/actualites/tribune-des-trois-conferences-en-faveur-du-climat" TargetMode="External"/><Relationship Id="rId4" Type="http://schemas.openxmlformats.org/officeDocument/2006/relationships/hyperlink" Target="https://lundi.am/Engagement-de-l-enseignement-superieur-et-la-recherche-en-faveur-du-climat" TargetMode="External"/><Relationship Id="rId1" Type="http://schemas.openxmlformats.org/officeDocument/2006/relationships/hyperlink" Target="https://laffairedusiecle.net/" TargetMode="External"/><Relationship Id="rId2" Type="http://schemas.openxmlformats.org/officeDocument/2006/relationships/hyperlink" Target="https://lundi.am/Un-recit-hegemoniqu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1700</TotalTime>
  <Pages>5</Pages>
  <Words>2609</Words>
  <Characters>14352</Characters>
  <Application>Microsoft Macintosh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JL</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JL</dc:creator>
  <cp:keywords/>
  <dc:description/>
  <cp:lastModifiedBy>JL JL</cp:lastModifiedBy>
  <cp:revision>39</cp:revision>
  <cp:lastPrinted>2020-01-08T20:42:00Z</cp:lastPrinted>
  <dcterms:created xsi:type="dcterms:W3CDTF">2019-07-05T14:32:00Z</dcterms:created>
  <dcterms:modified xsi:type="dcterms:W3CDTF">2020-01-11T17:57:00Z</dcterms:modified>
</cp:coreProperties>
</file>